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AD" w:rsidRPr="00DD149F" w:rsidRDefault="007B3F90" w:rsidP="001044F1">
      <w:pPr>
        <w:jc w:val="both"/>
        <w:rPr>
          <w:rFonts w:ascii="Verdana" w:hAnsi="Verdana"/>
          <w:sz w:val="16"/>
          <w:szCs w:val="16"/>
          <w:lang w:val="es-CL" w:eastAsia="es-CL"/>
        </w:rPr>
      </w:pPr>
      <w:r w:rsidRPr="00DD149F">
        <w:rPr>
          <w:rFonts w:ascii="Verdana" w:hAnsi="Verdana"/>
          <w:sz w:val="16"/>
          <w:szCs w:val="16"/>
          <w:lang w:val="es-CL" w:eastAsia="es-CL"/>
        </w:rPr>
        <w:t>Servicio Nacional de Aduanas</w:t>
      </w:r>
    </w:p>
    <w:p w:rsidR="007B3F90" w:rsidRPr="00DD149F" w:rsidRDefault="007B3F90" w:rsidP="001044F1">
      <w:pPr>
        <w:jc w:val="both"/>
        <w:rPr>
          <w:rFonts w:ascii="Verdana" w:hAnsi="Verdana"/>
          <w:sz w:val="16"/>
          <w:szCs w:val="16"/>
          <w:lang w:val="es-CL" w:eastAsia="es-CL"/>
        </w:rPr>
      </w:pPr>
      <w:r w:rsidRPr="00DD149F">
        <w:rPr>
          <w:rFonts w:ascii="Verdana" w:hAnsi="Verdana"/>
          <w:sz w:val="16"/>
          <w:szCs w:val="16"/>
          <w:lang w:val="es-CL" w:eastAsia="es-CL"/>
        </w:rPr>
        <w:t>Subdirección Técnica</w:t>
      </w:r>
    </w:p>
    <w:p w:rsidR="007B3F90" w:rsidRPr="007B3F90" w:rsidRDefault="007B3F90" w:rsidP="001044F1">
      <w:pPr>
        <w:jc w:val="both"/>
        <w:rPr>
          <w:rFonts w:ascii="Verdana" w:hAnsi="Verdana"/>
          <w:b/>
          <w:sz w:val="16"/>
          <w:szCs w:val="16"/>
          <w:lang w:val="es-CL" w:eastAsia="es-CL"/>
        </w:rPr>
      </w:pPr>
      <w:proofErr w:type="spellStart"/>
      <w:r w:rsidRPr="007B3F90">
        <w:rPr>
          <w:rFonts w:ascii="Verdana" w:hAnsi="Verdana"/>
          <w:b/>
          <w:sz w:val="16"/>
          <w:szCs w:val="16"/>
          <w:lang w:val="es-CL" w:eastAsia="es-CL"/>
        </w:rPr>
        <w:t>Subdepto</w:t>
      </w:r>
      <w:proofErr w:type="spellEnd"/>
      <w:r w:rsidRPr="007B3F90">
        <w:rPr>
          <w:rFonts w:ascii="Verdana" w:hAnsi="Verdana"/>
          <w:b/>
          <w:sz w:val="16"/>
          <w:szCs w:val="16"/>
          <w:lang w:val="es-CL" w:eastAsia="es-CL"/>
        </w:rPr>
        <w:t xml:space="preserve"> Normas Generales</w:t>
      </w:r>
    </w:p>
    <w:p w:rsidR="007B3F90" w:rsidRDefault="00587B70" w:rsidP="001044F1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 xml:space="preserve">                                                      </w:t>
      </w:r>
    </w:p>
    <w:p w:rsidR="00587B70" w:rsidRDefault="007B3F90" w:rsidP="001044F1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 xml:space="preserve">                             </w:t>
      </w:r>
      <w:r w:rsidR="00F03761">
        <w:rPr>
          <w:rFonts w:ascii="Verdana" w:hAnsi="Verdana"/>
          <w:b/>
          <w:sz w:val="22"/>
          <w:szCs w:val="22"/>
          <w:lang w:val="es-CL" w:eastAsia="es-CL"/>
        </w:rPr>
        <w:t xml:space="preserve">  </w:t>
      </w:r>
      <w:r w:rsidR="004B7FB2">
        <w:rPr>
          <w:rFonts w:ascii="Verdana" w:hAnsi="Verdana"/>
          <w:b/>
          <w:sz w:val="22"/>
          <w:szCs w:val="22"/>
          <w:lang w:val="es-CL" w:eastAsia="es-CL"/>
        </w:rPr>
        <w:t xml:space="preserve">                       RESOLUCIÓ</w:t>
      </w:r>
      <w:r w:rsidR="00F03761">
        <w:rPr>
          <w:rFonts w:ascii="Verdana" w:hAnsi="Verdana"/>
          <w:b/>
          <w:sz w:val="22"/>
          <w:szCs w:val="22"/>
          <w:lang w:val="es-CL" w:eastAsia="es-CL"/>
        </w:rPr>
        <w:t>N EXENTA N°</w:t>
      </w:r>
    </w:p>
    <w:p w:rsidR="00F03761" w:rsidRDefault="00F03761" w:rsidP="001044F1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F03761" w:rsidRDefault="00F03761" w:rsidP="001044F1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 xml:space="preserve">                                  </w:t>
      </w:r>
      <w:r w:rsidR="004B7FB2">
        <w:rPr>
          <w:rFonts w:ascii="Verdana" w:hAnsi="Verdana"/>
          <w:b/>
          <w:sz w:val="22"/>
          <w:szCs w:val="22"/>
          <w:lang w:val="es-CL" w:eastAsia="es-CL"/>
        </w:rPr>
        <w:t xml:space="preserve">                    VALPARAÍ</w:t>
      </w:r>
      <w:r>
        <w:rPr>
          <w:rFonts w:ascii="Verdana" w:hAnsi="Verdana"/>
          <w:b/>
          <w:sz w:val="22"/>
          <w:szCs w:val="22"/>
          <w:lang w:val="es-CL" w:eastAsia="es-CL"/>
        </w:rPr>
        <w:t>SO,</w:t>
      </w:r>
    </w:p>
    <w:p w:rsidR="00F03761" w:rsidRDefault="00F03761" w:rsidP="001044F1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003D01" w:rsidRDefault="00F03761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 xml:space="preserve">                                                       VISTOS:</w:t>
      </w:r>
      <w:r w:rsidR="00003D01" w:rsidRPr="0095467E">
        <w:rPr>
          <w:rFonts w:ascii="Verdana" w:hAnsi="Verdana"/>
          <w:sz w:val="22"/>
          <w:szCs w:val="22"/>
          <w:lang w:val="es-CL" w:eastAsia="es-CL"/>
        </w:rPr>
        <w:t xml:space="preserve"> La Resolución N° 1300 de fecha 14.03.2006, de esta Dirección Nacional, que sustituyó el Compendio de Normas Aduaneras.</w:t>
      </w:r>
    </w:p>
    <w:p w:rsidR="00003D01" w:rsidRDefault="00003D01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003D01" w:rsidRDefault="00003D01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sz w:val="22"/>
          <w:szCs w:val="22"/>
          <w:lang w:val="es-CL" w:eastAsia="es-CL"/>
        </w:rPr>
        <w:t xml:space="preserve">                                                      El artículo 4 de la ley N° 20.773 de 15.09.2014 que establece un aporte de beneficio fiscal correspondiente a 0,2 dólares de Estados Unidos de América, por cada una de las toneladas de carga general transferidas de cualquier tipo, que se</w:t>
      </w:r>
      <w:r w:rsidR="00BB06C9">
        <w:rPr>
          <w:rFonts w:ascii="Verdana" w:hAnsi="Verdana"/>
          <w:sz w:val="22"/>
          <w:szCs w:val="22"/>
          <w:lang w:val="es-CL" w:eastAsia="es-CL"/>
        </w:rPr>
        <w:t xml:space="preserve"> importe o exporte por puertos </w:t>
      </w:r>
      <w:r>
        <w:rPr>
          <w:rFonts w:ascii="Verdana" w:hAnsi="Verdana"/>
          <w:sz w:val="22"/>
          <w:szCs w:val="22"/>
          <w:lang w:val="es-CL" w:eastAsia="es-CL"/>
        </w:rPr>
        <w:t>nacionales, en naves sujetas al Decreto Supremo N° 71 del Ministerio de Relaciones Exteriores de 2005.</w:t>
      </w:r>
    </w:p>
    <w:p w:rsidR="00003D01" w:rsidRDefault="00003D01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003D01" w:rsidRDefault="00003D01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sz w:val="22"/>
          <w:szCs w:val="22"/>
          <w:lang w:val="es-CL" w:eastAsia="es-CL"/>
        </w:rPr>
        <w:t xml:space="preserve">                                                     El Decreto Reglamentario N° XXX para la aplicación del artículo 4 de la ley 20.773 del año 2014.</w:t>
      </w:r>
    </w:p>
    <w:p w:rsidR="00003D01" w:rsidRDefault="00003D01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003D01" w:rsidRDefault="00003D01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sz w:val="22"/>
          <w:szCs w:val="22"/>
          <w:lang w:val="es-CL" w:eastAsia="es-CL"/>
        </w:rPr>
        <w:t xml:space="preserve">                                                    </w:t>
      </w:r>
      <w:r w:rsidR="003D2524">
        <w:rPr>
          <w:rFonts w:ascii="Verdana" w:hAnsi="Verdana"/>
          <w:sz w:val="22"/>
          <w:szCs w:val="22"/>
          <w:lang w:val="es-CL" w:eastAsia="es-CL"/>
        </w:rPr>
        <w:t xml:space="preserve"> </w:t>
      </w:r>
      <w:r>
        <w:rPr>
          <w:rFonts w:ascii="Verdana" w:hAnsi="Verdana"/>
          <w:sz w:val="22"/>
          <w:szCs w:val="22"/>
          <w:lang w:val="es-CL" w:eastAsia="es-CL"/>
        </w:rPr>
        <w:t xml:space="preserve">El </w:t>
      </w:r>
      <w:r w:rsidR="003D2524">
        <w:rPr>
          <w:rFonts w:ascii="Verdana" w:hAnsi="Verdana"/>
          <w:sz w:val="22"/>
          <w:szCs w:val="22"/>
          <w:lang w:val="es-CL" w:eastAsia="es-CL"/>
        </w:rPr>
        <w:t>correo electrónico de fecha 14.11.2014,</w:t>
      </w:r>
      <w:r>
        <w:rPr>
          <w:rFonts w:ascii="Verdana" w:hAnsi="Verdana"/>
          <w:sz w:val="22"/>
          <w:szCs w:val="22"/>
          <w:lang w:val="es-CL" w:eastAsia="es-CL"/>
        </w:rPr>
        <w:t xml:space="preserve"> de la Tesorería General de la República, mediante el cual se ha asignado el código de cuenta </w:t>
      </w:r>
      <w:r w:rsidR="003D2524" w:rsidRPr="003D2524">
        <w:rPr>
          <w:rFonts w:ascii="Verdana" w:hAnsi="Verdana"/>
          <w:b/>
          <w:sz w:val="22"/>
          <w:szCs w:val="22"/>
          <w:lang w:val="es-CL" w:eastAsia="es-CL"/>
        </w:rPr>
        <w:t>300</w:t>
      </w:r>
      <w:r>
        <w:rPr>
          <w:rFonts w:ascii="Verdana" w:hAnsi="Verdana"/>
          <w:sz w:val="22"/>
          <w:szCs w:val="22"/>
          <w:lang w:val="es-CL" w:eastAsia="es-CL"/>
        </w:rPr>
        <w:t xml:space="preserve"> para ser utilizado en los documentos de pago emitidos por el Servicio Nacional de Aduanas, </w:t>
      </w:r>
      <w:r w:rsidR="00BB06C9">
        <w:rPr>
          <w:rFonts w:ascii="Verdana" w:hAnsi="Verdana"/>
          <w:sz w:val="22"/>
          <w:szCs w:val="22"/>
          <w:lang w:val="es-CL" w:eastAsia="es-CL"/>
        </w:rPr>
        <w:t xml:space="preserve">para efectos de la recaudación </w:t>
      </w:r>
      <w:r>
        <w:rPr>
          <w:rFonts w:ascii="Verdana" w:hAnsi="Verdana"/>
          <w:sz w:val="22"/>
          <w:szCs w:val="22"/>
          <w:lang w:val="es-CL" w:eastAsia="es-CL"/>
        </w:rPr>
        <w:t>por concepto de este aporte</w:t>
      </w:r>
      <w:r w:rsidR="00BB06C9">
        <w:rPr>
          <w:rFonts w:ascii="Verdana" w:hAnsi="Verdana"/>
          <w:sz w:val="22"/>
          <w:szCs w:val="22"/>
          <w:lang w:val="es-CL" w:eastAsia="es-CL"/>
        </w:rPr>
        <w:t>.</w:t>
      </w:r>
    </w:p>
    <w:p w:rsidR="00BB06C9" w:rsidRDefault="00BB06C9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38468A" w:rsidRDefault="00BB06C9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sz w:val="22"/>
          <w:szCs w:val="22"/>
          <w:lang w:val="es-CL" w:eastAsia="es-CL"/>
        </w:rPr>
        <w:t xml:space="preserve">                                                   </w:t>
      </w:r>
      <w:r w:rsidRPr="0038468A">
        <w:rPr>
          <w:rFonts w:ascii="Verdana" w:hAnsi="Verdana"/>
          <w:b/>
          <w:sz w:val="22"/>
          <w:szCs w:val="22"/>
          <w:lang w:val="es-CL" w:eastAsia="es-CL"/>
        </w:rPr>
        <w:t>CONSIDERANDO:</w:t>
      </w:r>
      <w:r>
        <w:rPr>
          <w:rFonts w:ascii="Verdana" w:hAnsi="Verdana"/>
          <w:sz w:val="22"/>
          <w:szCs w:val="22"/>
          <w:lang w:val="es-CL" w:eastAsia="es-CL"/>
        </w:rPr>
        <w:t xml:space="preserve"> Que, </w:t>
      </w:r>
      <w:r w:rsidR="00621408">
        <w:rPr>
          <w:rFonts w:ascii="Verdana" w:hAnsi="Verdana"/>
          <w:sz w:val="22"/>
          <w:szCs w:val="22"/>
          <w:lang w:val="es-CL" w:eastAsia="es-CL"/>
        </w:rPr>
        <w:t xml:space="preserve">el aporte a </w:t>
      </w:r>
      <w:r>
        <w:rPr>
          <w:rFonts w:ascii="Verdana" w:hAnsi="Verdana"/>
          <w:sz w:val="22"/>
          <w:szCs w:val="22"/>
          <w:lang w:val="es-CL" w:eastAsia="es-CL"/>
        </w:rPr>
        <w:t xml:space="preserve">que se refiere el artículo 4 de la ley 20.773, se aplicará a las mercancías individuales, susceptible de estandarizar en su manipulación, almacenamiento y transporte, sea en contenedores, sacos, cajones, pallets, tambores, bidones, rollos, atados, eslinga u otros, pudiendo presentarse </w:t>
      </w:r>
      <w:r w:rsidR="00994049" w:rsidRPr="006B0FB1">
        <w:rPr>
          <w:rFonts w:ascii="Verdana" w:hAnsi="Verdana"/>
          <w:sz w:val="22"/>
          <w:szCs w:val="22"/>
          <w:lang w:val="es-CL" w:eastAsia="es-CL"/>
        </w:rPr>
        <w:t>frigo</w:t>
      </w:r>
      <w:r w:rsidR="0038468A" w:rsidRPr="006B0FB1">
        <w:rPr>
          <w:rFonts w:ascii="Verdana" w:hAnsi="Verdana"/>
          <w:sz w:val="22"/>
          <w:szCs w:val="22"/>
          <w:lang w:val="es-CL" w:eastAsia="es-CL"/>
        </w:rPr>
        <w:t>rizada</w:t>
      </w:r>
      <w:r>
        <w:rPr>
          <w:rFonts w:ascii="Verdana" w:hAnsi="Verdana"/>
          <w:sz w:val="22"/>
          <w:szCs w:val="22"/>
          <w:lang w:val="es-CL" w:eastAsia="es-CL"/>
        </w:rPr>
        <w:t xml:space="preserve">, esto es, enfriada o congelada; a las mercancías que se presentan en un conjunto de partículas o granos no enumerados ni envasadas, cuya clasificación se </w:t>
      </w:r>
      <w:r w:rsidR="00AE7503">
        <w:rPr>
          <w:rFonts w:ascii="Verdana" w:hAnsi="Verdana"/>
          <w:sz w:val="22"/>
          <w:szCs w:val="22"/>
          <w:lang w:val="es-CL" w:eastAsia="es-CL"/>
        </w:rPr>
        <w:t>determina por su naturaleza, pes</w:t>
      </w:r>
      <w:r>
        <w:rPr>
          <w:rFonts w:ascii="Verdana" w:hAnsi="Verdana"/>
          <w:sz w:val="22"/>
          <w:szCs w:val="22"/>
          <w:lang w:val="es-CL" w:eastAsia="es-CL"/>
        </w:rPr>
        <w:t>o y/o volumen; y también a los fluidos líquidos o gaseosos, o a gases licuados, transportados masivamente por ductos especiales o que no se encuentran almacenados en otro elemento que no sea el depósito del vehículo que los transporta</w:t>
      </w:r>
      <w:r w:rsidR="0038468A">
        <w:rPr>
          <w:rFonts w:ascii="Verdana" w:hAnsi="Verdana"/>
          <w:sz w:val="22"/>
          <w:szCs w:val="22"/>
          <w:lang w:val="es-CL" w:eastAsia="es-CL"/>
        </w:rPr>
        <w:t>.</w:t>
      </w:r>
    </w:p>
    <w:p w:rsidR="0038468A" w:rsidRDefault="0038468A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sz w:val="22"/>
          <w:szCs w:val="22"/>
          <w:lang w:val="es-CL" w:eastAsia="es-CL"/>
        </w:rPr>
        <w:t xml:space="preserve">                                                   </w:t>
      </w:r>
    </w:p>
    <w:p w:rsidR="0038468A" w:rsidRDefault="0038468A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sz w:val="22"/>
          <w:szCs w:val="22"/>
          <w:lang w:val="es-CL" w:eastAsia="es-CL"/>
        </w:rPr>
        <w:t xml:space="preserve">                                                  Qué, este aporte a que se refiere </w:t>
      </w:r>
      <w:r w:rsidR="00AE7503">
        <w:rPr>
          <w:rFonts w:ascii="Verdana" w:hAnsi="Verdana"/>
          <w:sz w:val="22"/>
          <w:szCs w:val="22"/>
          <w:lang w:val="es-CL" w:eastAsia="es-CL"/>
        </w:rPr>
        <w:t xml:space="preserve">el artículo 4 de </w:t>
      </w:r>
      <w:r>
        <w:rPr>
          <w:rFonts w:ascii="Verdana" w:hAnsi="Verdana"/>
          <w:sz w:val="22"/>
          <w:szCs w:val="22"/>
          <w:lang w:val="es-CL" w:eastAsia="es-CL"/>
        </w:rPr>
        <w:t>la ley 20.773, será de 0.2 dólares de los Estados Unidos de América, por cada una de las toneladas de la</w:t>
      </w:r>
      <w:r w:rsidR="00AE7503">
        <w:rPr>
          <w:rFonts w:ascii="Verdana" w:hAnsi="Verdana"/>
          <w:sz w:val="22"/>
          <w:szCs w:val="22"/>
          <w:lang w:val="es-CL" w:eastAsia="es-CL"/>
        </w:rPr>
        <w:t>s mercancías a que se refiere este</w:t>
      </w:r>
      <w:r>
        <w:rPr>
          <w:rFonts w:ascii="Verdana" w:hAnsi="Verdana"/>
          <w:sz w:val="22"/>
          <w:szCs w:val="22"/>
          <w:lang w:val="es-CL" w:eastAsia="es-CL"/>
        </w:rPr>
        <w:t xml:space="preserve"> artículo 4, transferida que se importe o exporte por puertos nacionales. El aporte no será exigible cuando el peso de las mercancías sea inferior a una tonelada.</w:t>
      </w:r>
    </w:p>
    <w:p w:rsidR="0038468A" w:rsidRDefault="0038468A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38468A" w:rsidRDefault="0038468A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sz w:val="22"/>
          <w:szCs w:val="22"/>
          <w:lang w:val="es-CL" w:eastAsia="es-CL"/>
        </w:rPr>
        <w:t xml:space="preserve">                                                 Qué, este aporte deberá ser pagado por los importadores y exportadores, según corresponda, deberá expresarse en </w:t>
      </w:r>
      <w:r w:rsidR="00992ADE">
        <w:rPr>
          <w:rFonts w:ascii="Verdana" w:hAnsi="Verdana"/>
          <w:sz w:val="22"/>
          <w:szCs w:val="22"/>
          <w:lang w:val="es-CL" w:eastAsia="es-CL"/>
        </w:rPr>
        <w:t>dólares de los EE.UU de América</w:t>
      </w:r>
      <w:r>
        <w:rPr>
          <w:rFonts w:ascii="Verdana" w:hAnsi="Verdana"/>
          <w:sz w:val="22"/>
          <w:szCs w:val="22"/>
          <w:lang w:val="es-CL" w:eastAsia="es-CL"/>
        </w:rPr>
        <w:t xml:space="preserve">, de acuerdo al tipo de cambio vigente a la fecha de pago, de conformidad a lo dispuesto en el artículo 95 de la Ordenanza de Aduanas y ser asociado al código de cuenta </w:t>
      </w:r>
      <w:r w:rsidR="003D2524">
        <w:rPr>
          <w:rFonts w:ascii="Verdana" w:hAnsi="Verdana"/>
          <w:b/>
          <w:sz w:val="22"/>
          <w:szCs w:val="22"/>
          <w:lang w:val="es-CL" w:eastAsia="es-CL"/>
        </w:rPr>
        <w:t>300</w:t>
      </w:r>
      <w:r w:rsidRPr="00AE7503">
        <w:rPr>
          <w:rFonts w:ascii="Verdana" w:hAnsi="Verdana"/>
          <w:sz w:val="22"/>
          <w:szCs w:val="22"/>
          <w:lang w:val="es-CL" w:eastAsia="es-CL"/>
        </w:rPr>
        <w:t>.</w:t>
      </w:r>
    </w:p>
    <w:p w:rsidR="0038468A" w:rsidRDefault="0038468A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05522E" w:rsidRDefault="0038468A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sz w:val="22"/>
          <w:szCs w:val="22"/>
          <w:lang w:val="es-CL" w:eastAsia="es-CL"/>
        </w:rPr>
        <w:t xml:space="preserve">                                                </w:t>
      </w:r>
    </w:p>
    <w:p w:rsidR="0005522E" w:rsidRDefault="0005522E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05522E" w:rsidRDefault="0005522E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05522E" w:rsidRDefault="0005522E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05522E" w:rsidRDefault="0005522E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05522E" w:rsidRDefault="0005522E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05522E" w:rsidRDefault="0005522E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sz w:val="22"/>
          <w:szCs w:val="22"/>
          <w:lang w:val="es-CL" w:eastAsia="es-CL"/>
        </w:rPr>
        <w:t xml:space="preserve">                                                  </w:t>
      </w:r>
    </w:p>
    <w:p w:rsidR="0038468A" w:rsidRDefault="0005522E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sz w:val="22"/>
          <w:szCs w:val="22"/>
          <w:lang w:val="es-CL" w:eastAsia="es-CL"/>
        </w:rPr>
        <w:lastRenderedPageBreak/>
        <w:t xml:space="preserve">                                                  </w:t>
      </w:r>
      <w:r w:rsidR="0038468A">
        <w:rPr>
          <w:rFonts w:ascii="Verdana" w:hAnsi="Verdana"/>
          <w:sz w:val="22"/>
          <w:szCs w:val="22"/>
          <w:lang w:val="es-CL" w:eastAsia="es-CL"/>
        </w:rPr>
        <w:t>Qué, este aporte no podrá exceder, en el caso de la importación, de 0.0</w:t>
      </w:r>
      <w:r w:rsidR="00992ADE">
        <w:rPr>
          <w:rFonts w:ascii="Verdana" w:hAnsi="Verdana"/>
          <w:sz w:val="22"/>
          <w:szCs w:val="22"/>
          <w:lang w:val="es-CL" w:eastAsia="es-CL"/>
        </w:rPr>
        <w:t>25</w:t>
      </w:r>
      <w:r w:rsidR="00AE7503">
        <w:rPr>
          <w:rFonts w:ascii="Verdana" w:hAnsi="Verdana"/>
          <w:sz w:val="22"/>
          <w:szCs w:val="22"/>
          <w:lang w:val="es-CL" w:eastAsia="es-CL"/>
        </w:rPr>
        <w:t>% del Valor CIF de la DIN</w:t>
      </w:r>
      <w:r w:rsidR="0038468A">
        <w:rPr>
          <w:rFonts w:ascii="Verdana" w:hAnsi="Verdana"/>
          <w:sz w:val="22"/>
          <w:szCs w:val="22"/>
          <w:lang w:val="es-CL" w:eastAsia="es-CL"/>
        </w:rPr>
        <w:t>, por cada tonelada de carga general y en el caso de la exportación, de 0.025% del Valor FOB de la DUS</w:t>
      </w:r>
      <w:r w:rsidR="003D2524">
        <w:rPr>
          <w:rFonts w:ascii="Verdana" w:hAnsi="Verdana"/>
          <w:sz w:val="22"/>
          <w:szCs w:val="22"/>
          <w:lang w:val="es-CL" w:eastAsia="es-CL"/>
        </w:rPr>
        <w:t>-LEG</w:t>
      </w:r>
      <w:r w:rsidR="0038468A">
        <w:rPr>
          <w:rFonts w:ascii="Verdana" w:hAnsi="Verdana"/>
          <w:sz w:val="22"/>
          <w:szCs w:val="22"/>
          <w:lang w:val="es-CL" w:eastAsia="es-CL"/>
        </w:rPr>
        <w:t xml:space="preserve"> y por cada tonelada de carga general.</w:t>
      </w:r>
    </w:p>
    <w:p w:rsidR="0038468A" w:rsidRDefault="0038468A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38468A" w:rsidRDefault="0038468A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sz w:val="22"/>
          <w:szCs w:val="22"/>
          <w:lang w:val="es-CL" w:eastAsia="es-CL"/>
        </w:rPr>
        <w:t xml:space="preserve">                           </w:t>
      </w:r>
      <w:r w:rsidR="00F55574">
        <w:rPr>
          <w:rFonts w:ascii="Verdana" w:hAnsi="Verdana"/>
          <w:sz w:val="22"/>
          <w:szCs w:val="22"/>
          <w:lang w:val="es-CL" w:eastAsia="es-CL"/>
        </w:rPr>
        <w:t xml:space="preserve">                  </w:t>
      </w:r>
      <w:r w:rsidR="0005522E">
        <w:rPr>
          <w:rFonts w:ascii="Verdana" w:hAnsi="Verdana"/>
          <w:sz w:val="22"/>
          <w:szCs w:val="22"/>
          <w:lang w:val="es-CL" w:eastAsia="es-CL"/>
        </w:rPr>
        <w:t xml:space="preserve">   </w:t>
      </w:r>
      <w:r w:rsidR="00F55574">
        <w:rPr>
          <w:rFonts w:ascii="Verdana" w:hAnsi="Verdana"/>
          <w:sz w:val="22"/>
          <w:szCs w:val="22"/>
          <w:lang w:val="es-CL" w:eastAsia="es-CL"/>
        </w:rPr>
        <w:t xml:space="preserve">  Qué, para efectos de la determinación de las toneladas transferidas y cálculo del aporte, sea en importación o exportación, deberá estarse a la </w:t>
      </w:r>
      <w:r w:rsidR="00D534A1">
        <w:rPr>
          <w:rFonts w:ascii="Verdana" w:hAnsi="Verdana"/>
          <w:sz w:val="22"/>
          <w:szCs w:val="22"/>
          <w:lang w:val="es-CL" w:eastAsia="es-CL"/>
        </w:rPr>
        <w:t xml:space="preserve">cantidad de kilos declarados en el recuadro asignado al Peso Bruto de </w:t>
      </w:r>
      <w:r w:rsidR="00F55574">
        <w:rPr>
          <w:rFonts w:ascii="Verdana" w:hAnsi="Verdana"/>
          <w:sz w:val="22"/>
          <w:szCs w:val="22"/>
          <w:lang w:val="es-CL" w:eastAsia="es-CL"/>
        </w:rPr>
        <w:t>la respectiva</w:t>
      </w:r>
      <w:r w:rsidR="00D534A1">
        <w:rPr>
          <w:rFonts w:ascii="Verdana" w:hAnsi="Verdana"/>
          <w:sz w:val="22"/>
          <w:szCs w:val="22"/>
          <w:lang w:val="es-CL" w:eastAsia="es-CL"/>
        </w:rPr>
        <w:t xml:space="preserve"> DIN o DUS</w:t>
      </w:r>
      <w:r w:rsidR="00523C73">
        <w:rPr>
          <w:rFonts w:ascii="Verdana" w:hAnsi="Verdana"/>
          <w:sz w:val="22"/>
          <w:szCs w:val="22"/>
          <w:lang w:val="es-CL" w:eastAsia="es-CL"/>
        </w:rPr>
        <w:t>-LEG,</w:t>
      </w:r>
      <w:r w:rsidR="00F55574">
        <w:rPr>
          <w:rFonts w:ascii="Verdana" w:hAnsi="Verdana"/>
          <w:sz w:val="22"/>
          <w:szCs w:val="22"/>
          <w:lang w:val="es-CL" w:eastAsia="es-CL"/>
        </w:rPr>
        <w:t xml:space="preserve"> debiendo convertirse a toneladas</w:t>
      </w:r>
      <w:r w:rsidR="00523C73">
        <w:rPr>
          <w:rFonts w:ascii="Verdana" w:hAnsi="Verdana"/>
          <w:sz w:val="22"/>
          <w:szCs w:val="22"/>
          <w:lang w:val="es-CL" w:eastAsia="es-CL"/>
        </w:rPr>
        <w:t>.</w:t>
      </w:r>
      <w:r w:rsidR="00F55574">
        <w:rPr>
          <w:rFonts w:ascii="Verdana" w:hAnsi="Verdana"/>
          <w:sz w:val="22"/>
          <w:szCs w:val="22"/>
          <w:lang w:val="es-CL" w:eastAsia="es-CL"/>
        </w:rPr>
        <w:t xml:space="preserve"> Asimismo, en caso de toneladas fraccionadas, deberá ajustarse a la</w:t>
      </w:r>
      <w:r w:rsidR="00523C73">
        <w:rPr>
          <w:rFonts w:ascii="Verdana" w:hAnsi="Verdana"/>
          <w:sz w:val="22"/>
          <w:szCs w:val="22"/>
          <w:lang w:val="es-CL" w:eastAsia="es-CL"/>
        </w:rPr>
        <w:t xml:space="preserve"> tonelada superior cuando el </w:t>
      </w:r>
      <w:r w:rsidR="00F55574">
        <w:rPr>
          <w:rFonts w:ascii="Verdana" w:hAnsi="Verdana"/>
          <w:sz w:val="22"/>
          <w:szCs w:val="22"/>
          <w:lang w:val="es-CL" w:eastAsia="es-CL"/>
        </w:rPr>
        <w:t xml:space="preserve"> primer decimal corresponda a la cifra 5 o superior. En caso contrario, deberá desestimarse</w:t>
      </w:r>
      <w:r w:rsidR="00AE7503">
        <w:rPr>
          <w:rFonts w:ascii="Verdana" w:hAnsi="Verdana"/>
          <w:sz w:val="22"/>
          <w:szCs w:val="22"/>
          <w:lang w:val="es-CL" w:eastAsia="es-CL"/>
        </w:rPr>
        <w:t xml:space="preserve"> el decimal</w:t>
      </w:r>
      <w:r w:rsidR="00F55574">
        <w:rPr>
          <w:rFonts w:ascii="Verdana" w:hAnsi="Verdana"/>
          <w:sz w:val="22"/>
          <w:szCs w:val="22"/>
          <w:lang w:val="es-CL" w:eastAsia="es-CL"/>
        </w:rPr>
        <w:t>.</w:t>
      </w:r>
    </w:p>
    <w:p w:rsidR="00F55574" w:rsidRDefault="00F55574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D534A1" w:rsidRDefault="00F55574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sz w:val="22"/>
          <w:szCs w:val="22"/>
          <w:lang w:val="es-CL" w:eastAsia="es-CL"/>
        </w:rPr>
        <w:t xml:space="preserve">                                              </w:t>
      </w:r>
      <w:r w:rsidR="0005522E">
        <w:rPr>
          <w:rFonts w:ascii="Verdana" w:hAnsi="Verdana"/>
          <w:sz w:val="22"/>
          <w:szCs w:val="22"/>
          <w:lang w:val="es-CL" w:eastAsia="es-CL"/>
        </w:rPr>
        <w:t xml:space="preserve">   </w:t>
      </w:r>
      <w:r>
        <w:rPr>
          <w:rFonts w:ascii="Verdana" w:hAnsi="Verdana"/>
          <w:sz w:val="22"/>
          <w:szCs w:val="22"/>
          <w:lang w:val="es-CL" w:eastAsia="es-CL"/>
        </w:rPr>
        <w:t xml:space="preserve"> Qué, en el caso de las importaciones, el aporte deberá ser declarado en la declaración d</w:t>
      </w:r>
      <w:r w:rsidR="00AE7503">
        <w:rPr>
          <w:rFonts w:ascii="Verdana" w:hAnsi="Verdana"/>
          <w:sz w:val="22"/>
          <w:szCs w:val="22"/>
          <w:lang w:val="es-CL" w:eastAsia="es-CL"/>
        </w:rPr>
        <w:t xml:space="preserve">e ingreso (DIN) en el recuadro </w:t>
      </w:r>
      <w:r>
        <w:rPr>
          <w:rFonts w:ascii="Verdana" w:hAnsi="Verdana"/>
          <w:sz w:val="22"/>
          <w:szCs w:val="22"/>
          <w:lang w:val="es-CL" w:eastAsia="es-CL"/>
        </w:rPr>
        <w:t>Cuenta</w:t>
      </w:r>
      <w:r w:rsidR="00AE7503">
        <w:rPr>
          <w:rFonts w:ascii="Verdana" w:hAnsi="Verdana"/>
          <w:sz w:val="22"/>
          <w:szCs w:val="22"/>
          <w:lang w:val="es-CL" w:eastAsia="es-CL"/>
        </w:rPr>
        <w:t>s</w:t>
      </w:r>
      <w:r>
        <w:rPr>
          <w:rFonts w:ascii="Verdana" w:hAnsi="Verdana"/>
          <w:sz w:val="22"/>
          <w:szCs w:val="22"/>
          <w:lang w:val="es-CL" w:eastAsia="es-CL"/>
        </w:rPr>
        <w:t xml:space="preserve"> y Valores,  asociado al código</w:t>
      </w:r>
      <w:r w:rsidR="00A22DBA">
        <w:rPr>
          <w:rFonts w:ascii="Verdana" w:hAnsi="Verdana"/>
          <w:sz w:val="22"/>
          <w:szCs w:val="22"/>
          <w:lang w:val="es-CL" w:eastAsia="es-CL"/>
        </w:rPr>
        <w:t xml:space="preserve"> computacional</w:t>
      </w:r>
      <w:r>
        <w:rPr>
          <w:rFonts w:ascii="Verdana" w:hAnsi="Verdana"/>
          <w:sz w:val="22"/>
          <w:szCs w:val="22"/>
          <w:lang w:val="es-CL" w:eastAsia="es-CL"/>
        </w:rPr>
        <w:t xml:space="preserve"> </w:t>
      </w:r>
      <w:r w:rsidR="003D2524">
        <w:rPr>
          <w:rFonts w:ascii="Verdana" w:hAnsi="Verdana"/>
          <w:b/>
          <w:sz w:val="22"/>
          <w:szCs w:val="22"/>
          <w:lang w:val="es-CL" w:eastAsia="es-CL"/>
        </w:rPr>
        <w:t>300</w:t>
      </w:r>
      <w:r w:rsidR="00523C73">
        <w:rPr>
          <w:rFonts w:ascii="Verdana" w:hAnsi="Verdana"/>
          <w:b/>
          <w:sz w:val="22"/>
          <w:szCs w:val="22"/>
          <w:lang w:val="es-CL" w:eastAsia="es-CL"/>
        </w:rPr>
        <w:t>,</w:t>
      </w:r>
      <w:r>
        <w:rPr>
          <w:rFonts w:ascii="Verdana" w:hAnsi="Verdana"/>
          <w:sz w:val="22"/>
          <w:szCs w:val="22"/>
          <w:lang w:val="es-CL" w:eastAsia="es-CL"/>
        </w:rPr>
        <w:t xml:space="preserve"> </w:t>
      </w:r>
      <w:r w:rsidR="004B7FB2">
        <w:rPr>
          <w:rFonts w:ascii="Verdana" w:hAnsi="Verdana"/>
          <w:sz w:val="22"/>
          <w:szCs w:val="22"/>
          <w:lang w:val="es-CL" w:eastAsia="es-CL"/>
        </w:rPr>
        <w:t>e</w:t>
      </w:r>
      <w:r>
        <w:rPr>
          <w:rFonts w:ascii="Verdana" w:hAnsi="Verdana"/>
          <w:sz w:val="22"/>
          <w:szCs w:val="22"/>
          <w:lang w:val="es-CL" w:eastAsia="es-CL"/>
        </w:rPr>
        <w:t xml:space="preserve">xpresado </w:t>
      </w:r>
      <w:r w:rsidR="006E5350">
        <w:rPr>
          <w:rFonts w:ascii="Verdana" w:hAnsi="Verdana"/>
          <w:sz w:val="22"/>
          <w:szCs w:val="22"/>
          <w:lang w:val="es-CL" w:eastAsia="es-CL"/>
        </w:rPr>
        <w:t>con diez (10)</w:t>
      </w:r>
      <w:r>
        <w:rPr>
          <w:rFonts w:ascii="Verdana" w:hAnsi="Verdana"/>
          <w:sz w:val="22"/>
          <w:szCs w:val="22"/>
          <w:lang w:val="es-CL" w:eastAsia="es-CL"/>
        </w:rPr>
        <w:t xml:space="preserve"> enteros y dos</w:t>
      </w:r>
      <w:r w:rsidR="00523C73">
        <w:rPr>
          <w:rFonts w:ascii="Verdana" w:hAnsi="Verdana"/>
          <w:sz w:val="22"/>
          <w:szCs w:val="22"/>
          <w:lang w:val="es-CL" w:eastAsia="es-CL"/>
        </w:rPr>
        <w:t xml:space="preserve"> (2)</w:t>
      </w:r>
      <w:r w:rsidR="00721EF4">
        <w:rPr>
          <w:rFonts w:ascii="Verdana" w:hAnsi="Verdana"/>
          <w:sz w:val="22"/>
          <w:szCs w:val="22"/>
          <w:lang w:val="es-CL" w:eastAsia="es-CL"/>
        </w:rPr>
        <w:t xml:space="preserve"> decimales, y que corresponde al mismo formato que se utiliza actualmente en los datos que se envían en “Cuentas y Valores”, correspondiente al Encabezado de la DIN. </w:t>
      </w:r>
      <w:r w:rsidR="00AE7503">
        <w:rPr>
          <w:rFonts w:ascii="Verdana" w:hAnsi="Verdana"/>
          <w:sz w:val="22"/>
          <w:szCs w:val="22"/>
          <w:lang w:val="es-CL" w:eastAsia="es-CL"/>
        </w:rPr>
        <w:t>En caso de cancelación</w:t>
      </w:r>
      <w:r w:rsidR="004B7FB2">
        <w:rPr>
          <w:rFonts w:ascii="Verdana" w:hAnsi="Verdana"/>
          <w:sz w:val="22"/>
          <w:szCs w:val="22"/>
          <w:lang w:val="es-CL" w:eastAsia="es-CL"/>
        </w:rPr>
        <w:t xml:space="preserve"> de un régimen suspensivo, este aporte sólo deberá ser declarado en la DIN cancelatoria. </w:t>
      </w:r>
      <w:r>
        <w:rPr>
          <w:rFonts w:ascii="Verdana" w:hAnsi="Verdana"/>
          <w:sz w:val="22"/>
          <w:szCs w:val="22"/>
          <w:lang w:val="es-CL" w:eastAsia="es-CL"/>
        </w:rPr>
        <w:t xml:space="preserve"> </w:t>
      </w:r>
    </w:p>
    <w:p w:rsidR="00D534A1" w:rsidRDefault="00D534A1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F55574" w:rsidRPr="0095467E" w:rsidRDefault="00D534A1" w:rsidP="00003D01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sz w:val="22"/>
          <w:szCs w:val="22"/>
          <w:lang w:val="es-CL" w:eastAsia="es-CL"/>
        </w:rPr>
        <w:t xml:space="preserve">                                              </w:t>
      </w:r>
      <w:r w:rsidR="0005522E">
        <w:rPr>
          <w:rFonts w:ascii="Verdana" w:hAnsi="Verdana"/>
          <w:sz w:val="22"/>
          <w:szCs w:val="22"/>
          <w:lang w:val="es-CL" w:eastAsia="es-CL"/>
        </w:rPr>
        <w:t xml:space="preserve">  </w:t>
      </w:r>
      <w:r>
        <w:rPr>
          <w:rFonts w:ascii="Verdana" w:hAnsi="Verdana"/>
          <w:sz w:val="22"/>
          <w:szCs w:val="22"/>
          <w:lang w:val="es-CL" w:eastAsia="es-CL"/>
        </w:rPr>
        <w:t xml:space="preserve">  Qué, r</w:t>
      </w:r>
      <w:r w:rsidR="00F55574">
        <w:rPr>
          <w:rFonts w:ascii="Verdana" w:hAnsi="Verdana"/>
          <w:sz w:val="22"/>
          <w:szCs w:val="22"/>
          <w:lang w:val="es-CL" w:eastAsia="es-CL"/>
        </w:rPr>
        <w:t>especto a las exportaciones, el despachador de aduana que suscriba la declaración única de salida (DUS</w:t>
      </w:r>
      <w:r>
        <w:rPr>
          <w:rFonts w:ascii="Verdana" w:hAnsi="Verdana"/>
          <w:sz w:val="22"/>
          <w:szCs w:val="22"/>
          <w:lang w:val="es-CL" w:eastAsia="es-CL"/>
        </w:rPr>
        <w:t>-LEG o Segundo Mensaje</w:t>
      </w:r>
      <w:r w:rsidR="00AE7503">
        <w:rPr>
          <w:rFonts w:ascii="Verdana" w:hAnsi="Verdana"/>
          <w:sz w:val="22"/>
          <w:szCs w:val="22"/>
          <w:lang w:val="es-CL" w:eastAsia="es-CL"/>
        </w:rPr>
        <w:t>)</w:t>
      </w:r>
      <w:r w:rsidR="00F55574">
        <w:rPr>
          <w:rFonts w:ascii="Verdana" w:hAnsi="Verdana"/>
          <w:sz w:val="22"/>
          <w:szCs w:val="22"/>
          <w:lang w:val="es-CL" w:eastAsia="es-CL"/>
        </w:rPr>
        <w:t xml:space="preserve">, deberá </w:t>
      </w:r>
      <w:r w:rsidR="00A26E47">
        <w:rPr>
          <w:rFonts w:ascii="Verdana" w:hAnsi="Verdana"/>
          <w:sz w:val="22"/>
          <w:szCs w:val="22"/>
          <w:lang w:val="es-CL" w:eastAsia="es-CL"/>
        </w:rPr>
        <w:t>confeccionar este documento consignando en el recuadro Observaciones del primer ítem el monto del aporte en dólares de los EE</w:t>
      </w:r>
      <w:r w:rsidR="006B0FB1">
        <w:rPr>
          <w:rFonts w:ascii="Verdana" w:hAnsi="Verdana"/>
          <w:sz w:val="22"/>
          <w:szCs w:val="22"/>
          <w:lang w:val="es-CL" w:eastAsia="es-CL"/>
        </w:rPr>
        <w:t>.</w:t>
      </w:r>
      <w:r w:rsidR="00A26E47">
        <w:rPr>
          <w:rFonts w:ascii="Verdana" w:hAnsi="Verdana"/>
          <w:sz w:val="22"/>
          <w:szCs w:val="22"/>
          <w:lang w:val="es-CL" w:eastAsia="es-CL"/>
        </w:rPr>
        <w:t xml:space="preserve">UU de América, asociado al </w:t>
      </w:r>
      <w:r w:rsidR="00A26E47" w:rsidRPr="00A26E47">
        <w:rPr>
          <w:rFonts w:ascii="Verdana" w:hAnsi="Verdana"/>
          <w:b/>
          <w:sz w:val="22"/>
          <w:szCs w:val="22"/>
          <w:lang w:val="es-CL" w:eastAsia="es-CL"/>
        </w:rPr>
        <w:t>Código 33</w:t>
      </w:r>
      <w:r w:rsidR="00A26E47">
        <w:rPr>
          <w:rFonts w:ascii="Verdana" w:hAnsi="Verdana"/>
          <w:sz w:val="22"/>
          <w:szCs w:val="22"/>
          <w:lang w:val="es-CL" w:eastAsia="es-CL"/>
        </w:rPr>
        <w:t xml:space="preserve"> y en la glosa el monto expresado con diez (10) enteros y dos (2) decimales.</w:t>
      </w:r>
      <w:r>
        <w:rPr>
          <w:rFonts w:ascii="Verdana" w:hAnsi="Verdana"/>
          <w:sz w:val="22"/>
          <w:szCs w:val="22"/>
          <w:lang w:val="es-CL" w:eastAsia="es-CL"/>
        </w:rPr>
        <w:t xml:space="preserve"> </w:t>
      </w:r>
    </w:p>
    <w:p w:rsidR="00003D01" w:rsidRDefault="00003D01" w:rsidP="00003D01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 xml:space="preserve">                                                </w:t>
      </w:r>
    </w:p>
    <w:p w:rsidR="003D2524" w:rsidRDefault="00F715C5" w:rsidP="001044F1">
      <w:pPr>
        <w:jc w:val="both"/>
        <w:rPr>
          <w:rFonts w:ascii="Verdana" w:hAnsi="Verdana"/>
          <w:sz w:val="22"/>
          <w:szCs w:val="22"/>
          <w:lang w:val="es-CL" w:eastAsia="es-CL"/>
        </w:rPr>
      </w:pPr>
      <w:r w:rsidRPr="00F715C5">
        <w:rPr>
          <w:rFonts w:ascii="Verdana" w:hAnsi="Verdana"/>
          <w:sz w:val="22"/>
          <w:szCs w:val="22"/>
          <w:lang w:val="es-CL" w:eastAsia="es-CL"/>
        </w:rPr>
        <w:t xml:space="preserve">                                              </w:t>
      </w:r>
      <w:r w:rsidR="0005522E">
        <w:rPr>
          <w:rFonts w:ascii="Verdana" w:hAnsi="Verdana"/>
          <w:sz w:val="22"/>
          <w:szCs w:val="22"/>
          <w:lang w:val="es-CL" w:eastAsia="es-CL"/>
        </w:rPr>
        <w:t xml:space="preserve">   </w:t>
      </w:r>
      <w:r w:rsidRPr="00F715C5">
        <w:rPr>
          <w:rFonts w:ascii="Verdana" w:hAnsi="Verdana"/>
          <w:sz w:val="22"/>
          <w:szCs w:val="22"/>
          <w:lang w:val="es-CL" w:eastAsia="es-CL"/>
        </w:rPr>
        <w:t xml:space="preserve"> Qué</w:t>
      </w:r>
      <w:r>
        <w:rPr>
          <w:rFonts w:ascii="Verdana" w:hAnsi="Verdana"/>
          <w:sz w:val="22"/>
          <w:szCs w:val="22"/>
          <w:lang w:val="es-CL" w:eastAsia="es-CL"/>
        </w:rPr>
        <w:t>, con esta información del aporte declarado</w:t>
      </w:r>
      <w:r w:rsidR="00AD3F98">
        <w:rPr>
          <w:rFonts w:ascii="Verdana" w:hAnsi="Verdana"/>
          <w:sz w:val="22"/>
          <w:szCs w:val="22"/>
          <w:lang w:val="es-CL" w:eastAsia="es-CL"/>
        </w:rPr>
        <w:t xml:space="preserve"> en el recuadro Observaciones en el có</w:t>
      </w:r>
      <w:r w:rsidR="00D534A1">
        <w:rPr>
          <w:rFonts w:ascii="Verdana" w:hAnsi="Verdana"/>
          <w:sz w:val="22"/>
          <w:szCs w:val="22"/>
          <w:lang w:val="es-CL" w:eastAsia="es-CL"/>
        </w:rPr>
        <w:t xml:space="preserve">digo </w:t>
      </w:r>
      <w:r w:rsidR="00D534A1" w:rsidRPr="00D534A1">
        <w:rPr>
          <w:rFonts w:ascii="Verdana" w:hAnsi="Verdana"/>
          <w:b/>
          <w:sz w:val="22"/>
          <w:szCs w:val="22"/>
          <w:lang w:val="es-CL" w:eastAsia="es-CL"/>
        </w:rPr>
        <w:t>33</w:t>
      </w:r>
      <w:r w:rsidR="00AD3F98">
        <w:rPr>
          <w:rFonts w:ascii="Verdana" w:hAnsi="Verdana"/>
          <w:sz w:val="22"/>
          <w:szCs w:val="22"/>
          <w:lang w:val="es-CL" w:eastAsia="es-CL"/>
        </w:rPr>
        <w:t xml:space="preserve">, </w:t>
      </w:r>
      <w:r>
        <w:rPr>
          <w:rFonts w:ascii="Verdana" w:hAnsi="Verdana"/>
          <w:sz w:val="22"/>
          <w:szCs w:val="22"/>
          <w:lang w:val="es-CL" w:eastAsia="es-CL"/>
        </w:rPr>
        <w:t xml:space="preserve"> más los datos de</w:t>
      </w:r>
      <w:r w:rsidR="00AD3F98">
        <w:rPr>
          <w:rFonts w:ascii="Verdana" w:hAnsi="Verdana"/>
          <w:sz w:val="22"/>
          <w:szCs w:val="22"/>
          <w:lang w:val="es-CL" w:eastAsia="es-CL"/>
        </w:rPr>
        <w:t xml:space="preserve"> identificación del</w:t>
      </w:r>
      <w:r>
        <w:rPr>
          <w:rFonts w:ascii="Verdana" w:hAnsi="Verdana"/>
          <w:sz w:val="22"/>
          <w:szCs w:val="22"/>
          <w:lang w:val="es-CL" w:eastAsia="es-CL"/>
        </w:rPr>
        <w:t xml:space="preserve"> exportador extraído de la misma DUS, el sistema computacional del Servicio Nacional de Aduanas, construirá </w:t>
      </w:r>
      <w:r w:rsidR="00AD3F98">
        <w:rPr>
          <w:rFonts w:ascii="Verdana" w:hAnsi="Verdana"/>
          <w:sz w:val="22"/>
          <w:szCs w:val="22"/>
          <w:lang w:val="es-CL" w:eastAsia="es-CL"/>
        </w:rPr>
        <w:t xml:space="preserve">electrónicamente </w:t>
      </w:r>
      <w:r>
        <w:rPr>
          <w:rFonts w:ascii="Verdana" w:hAnsi="Verdana"/>
          <w:sz w:val="22"/>
          <w:szCs w:val="22"/>
          <w:lang w:val="es-CL" w:eastAsia="es-CL"/>
        </w:rPr>
        <w:t>un documento de pago F-09,</w:t>
      </w:r>
      <w:r w:rsidR="00AD3F98">
        <w:rPr>
          <w:rFonts w:ascii="Verdana" w:hAnsi="Verdana"/>
          <w:sz w:val="22"/>
          <w:szCs w:val="22"/>
          <w:lang w:val="es-CL" w:eastAsia="es-CL"/>
        </w:rPr>
        <w:t xml:space="preserve"> con el monto de</w:t>
      </w:r>
      <w:r w:rsidR="00DD149F">
        <w:rPr>
          <w:rFonts w:ascii="Verdana" w:hAnsi="Verdana"/>
          <w:sz w:val="22"/>
          <w:szCs w:val="22"/>
          <w:lang w:val="es-CL" w:eastAsia="es-CL"/>
        </w:rPr>
        <w:t>l aporte en dólares de los EE</w:t>
      </w:r>
      <w:r w:rsidR="006B0FB1">
        <w:rPr>
          <w:rFonts w:ascii="Verdana" w:hAnsi="Verdana"/>
          <w:sz w:val="22"/>
          <w:szCs w:val="22"/>
          <w:lang w:val="es-CL" w:eastAsia="es-CL"/>
        </w:rPr>
        <w:t>.</w:t>
      </w:r>
      <w:r w:rsidR="00DD149F">
        <w:rPr>
          <w:rFonts w:ascii="Verdana" w:hAnsi="Verdana"/>
          <w:sz w:val="22"/>
          <w:szCs w:val="22"/>
          <w:lang w:val="es-CL" w:eastAsia="es-CL"/>
        </w:rPr>
        <w:t xml:space="preserve">UU </w:t>
      </w:r>
      <w:r w:rsidR="006B0FB1">
        <w:rPr>
          <w:rFonts w:ascii="Verdana" w:hAnsi="Verdana"/>
          <w:sz w:val="22"/>
          <w:szCs w:val="22"/>
          <w:lang w:val="es-CL" w:eastAsia="es-CL"/>
        </w:rPr>
        <w:t xml:space="preserve">de América </w:t>
      </w:r>
      <w:r w:rsidR="00AD3F98">
        <w:rPr>
          <w:rFonts w:ascii="Verdana" w:hAnsi="Verdana"/>
          <w:sz w:val="22"/>
          <w:szCs w:val="22"/>
          <w:lang w:val="es-CL" w:eastAsia="es-CL"/>
        </w:rPr>
        <w:t xml:space="preserve">en la cuenta </w:t>
      </w:r>
      <w:r w:rsidR="003D2524">
        <w:rPr>
          <w:rFonts w:ascii="Verdana" w:hAnsi="Verdana"/>
          <w:b/>
          <w:sz w:val="22"/>
          <w:szCs w:val="22"/>
          <w:lang w:val="es-CL" w:eastAsia="es-CL"/>
        </w:rPr>
        <w:t>300</w:t>
      </w:r>
      <w:r w:rsidR="00D534A1">
        <w:rPr>
          <w:rFonts w:ascii="Verdana" w:hAnsi="Verdana"/>
          <w:b/>
          <w:sz w:val="22"/>
          <w:szCs w:val="22"/>
          <w:lang w:val="es-CL" w:eastAsia="es-CL"/>
        </w:rPr>
        <w:t>,</w:t>
      </w:r>
      <w:r w:rsidR="003D2524">
        <w:rPr>
          <w:rFonts w:ascii="Verdana" w:hAnsi="Verdana"/>
          <w:b/>
          <w:sz w:val="22"/>
          <w:szCs w:val="22"/>
          <w:lang w:val="es-CL" w:eastAsia="es-CL"/>
        </w:rPr>
        <w:t xml:space="preserve"> </w:t>
      </w:r>
      <w:r w:rsidR="003D2524">
        <w:rPr>
          <w:rFonts w:ascii="Verdana" w:hAnsi="Verdana"/>
          <w:sz w:val="22"/>
          <w:szCs w:val="22"/>
          <w:lang w:val="es-CL" w:eastAsia="es-CL"/>
        </w:rPr>
        <w:t xml:space="preserve"> para ser enviado directamente al sistema computacional WEB-F09.</w:t>
      </w:r>
    </w:p>
    <w:p w:rsidR="003D2524" w:rsidRDefault="003D2524" w:rsidP="001044F1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F03761" w:rsidRDefault="003D2524" w:rsidP="001044F1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  <w:r>
        <w:rPr>
          <w:rFonts w:ascii="Verdana" w:hAnsi="Verdana"/>
          <w:sz w:val="22"/>
          <w:szCs w:val="22"/>
          <w:lang w:val="es-CL" w:eastAsia="es-CL"/>
        </w:rPr>
        <w:t xml:space="preserve">                                                   Qué, con la aceptación</w:t>
      </w:r>
      <w:r w:rsidR="003D2D41">
        <w:rPr>
          <w:rFonts w:ascii="Verdana" w:hAnsi="Verdana"/>
          <w:sz w:val="22"/>
          <w:szCs w:val="22"/>
          <w:lang w:val="es-CL" w:eastAsia="es-CL"/>
        </w:rPr>
        <w:t xml:space="preserve"> a trámite del DUS-LEG, se entenderá por notificado el despachador de aduanas de la emisión del Giro F-09. Asimismo, en forma simultánea se enviará a la CUT de la Tesorería un cargo por el monto del aporte correspondiente a la respectiva DUS.</w:t>
      </w:r>
      <w:r w:rsidR="00992ADE">
        <w:rPr>
          <w:rFonts w:ascii="Verdana" w:hAnsi="Verdana"/>
          <w:sz w:val="22"/>
          <w:szCs w:val="22"/>
          <w:lang w:val="es-CL" w:eastAsia="es-CL"/>
        </w:rPr>
        <w:t xml:space="preserve"> Este documento de pago F-09 tendrá un plazo para </w:t>
      </w:r>
      <w:r w:rsidR="00DD149F">
        <w:rPr>
          <w:rFonts w:ascii="Verdana" w:hAnsi="Verdana"/>
          <w:sz w:val="22"/>
          <w:szCs w:val="22"/>
          <w:lang w:val="es-CL" w:eastAsia="es-CL"/>
        </w:rPr>
        <w:t>ser pagado</w:t>
      </w:r>
      <w:r w:rsidR="00992ADE">
        <w:rPr>
          <w:rFonts w:ascii="Verdana" w:hAnsi="Verdana"/>
          <w:sz w:val="22"/>
          <w:szCs w:val="22"/>
          <w:lang w:val="es-CL" w:eastAsia="es-CL"/>
        </w:rPr>
        <w:t xml:space="preserve"> de 15 días contados desde la fecha de notificación del referido documento de pago.</w:t>
      </w:r>
      <w:r w:rsidR="006E5350">
        <w:rPr>
          <w:rFonts w:ascii="Verdana" w:hAnsi="Verdana"/>
          <w:sz w:val="22"/>
          <w:szCs w:val="22"/>
          <w:lang w:val="es-CL" w:eastAsia="es-CL"/>
        </w:rPr>
        <w:t xml:space="preserve">   </w:t>
      </w:r>
    </w:p>
    <w:p w:rsidR="00587B70" w:rsidRDefault="00587B70" w:rsidP="001044F1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5C1706" w:rsidRPr="005C1706" w:rsidRDefault="00992ADE" w:rsidP="005C1706">
      <w:pPr>
        <w:jc w:val="both"/>
        <w:rPr>
          <w:rFonts w:ascii="Verdana" w:hAnsi="Verdana"/>
          <w:sz w:val="22"/>
          <w:szCs w:val="22"/>
          <w:lang w:val="es-CL" w:eastAsia="es-CL"/>
        </w:rPr>
      </w:pPr>
      <w:r w:rsidRPr="005C1706">
        <w:rPr>
          <w:rFonts w:ascii="Verdana" w:hAnsi="Verdana"/>
          <w:sz w:val="22"/>
          <w:szCs w:val="22"/>
          <w:lang w:val="es-CL" w:eastAsia="es-CL"/>
        </w:rPr>
        <w:t xml:space="preserve">                                                </w:t>
      </w:r>
      <w:r w:rsidR="0005522E">
        <w:rPr>
          <w:rFonts w:ascii="Verdana" w:hAnsi="Verdana"/>
          <w:sz w:val="22"/>
          <w:szCs w:val="22"/>
          <w:lang w:val="es-CL" w:eastAsia="es-CL"/>
        </w:rPr>
        <w:t xml:space="preserve">  </w:t>
      </w:r>
      <w:r w:rsidRPr="00992ADE">
        <w:rPr>
          <w:rFonts w:ascii="Verdana" w:hAnsi="Verdana"/>
          <w:sz w:val="22"/>
          <w:szCs w:val="22"/>
          <w:lang w:val="es-CL" w:eastAsia="es-CL"/>
        </w:rPr>
        <w:t>Qué,</w:t>
      </w:r>
      <w:r w:rsidR="00DD149F">
        <w:rPr>
          <w:rFonts w:ascii="Verdana" w:hAnsi="Verdana"/>
          <w:sz w:val="22"/>
          <w:szCs w:val="22"/>
          <w:lang w:val="es-CL" w:eastAsia="es-CL"/>
        </w:rPr>
        <w:t xml:space="preserve"> </w:t>
      </w:r>
      <w:r w:rsidR="005C1706" w:rsidRPr="005C1706">
        <w:rPr>
          <w:rFonts w:ascii="Verdana" w:hAnsi="Verdana"/>
          <w:sz w:val="22"/>
          <w:szCs w:val="22"/>
          <w:lang w:val="es-CL" w:eastAsia="es-CL"/>
        </w:rPr>
        <w:t>en consecuencia, se hace necesario impartir nuevas instruc</w:t>
      </w:r>
      <w:r w:rsidR="003D2D41">
        <w:rPr>
          <w:rFonts w:ascii="Verdana" w:hAnsi="Verdana"/>
          <w:sz w:val="22"/>
          <w:szCs w:val="22"/>
          <w:lang w:val="es-CL" w:eastAsia="es-CL"/>
        </w:rPr>
        <w:t>ciones para la confección de la</w:t>
      </w:r>
      <w:r w:rsidR="005C1706" w:rsidRPr="005C1706">
        <w:rPr>
          <w:rFonts w:ascii="Verdana" w:hAnsi="Verdana"/>
          <w:sz w:val="22"/>
          <w:szCs w:val="22"/>
          <w:lang w:val="es-CL" w:eastAsia="es-CL"/>
        </w:rPr>
        <w:t xml:space="preserve"> declaraci</w:t>
      </w:r>
      <w:r w:rsidR="00D534A1">
        <w:rPr>
          <w:rFonts w:ascii="Verdana" w:hAnsi="Verdana"/>
          <w:sz w:val="22"/>
          <w:szCs w:val="22"/>
          <w:lang w:val="es-CL" w:eastAsia="es-CL"/>
        </w:rPr>
        <w:t>ón</w:t>
      </w:r>
      <w:r w:rsidR="005C1706" w:rsidRPr="005C1706">
        <w:rPr>
          <w:rFonts w:ascii="Verdana" w:hAnsi="Verdana"/>
          <w:sz w:val="22"/>
          <w:szCs w:val="22"/>
          <w:lang w:val="es-CL" w:eastAsia="es-CL"/>
        </w:rPr>
        <w:t xml:space="preserve"> de ingreso</w:t>
      </w:r>
      <w:r w:rsidR="005C1706">
        <w:rPr>
          <w:rFonts w:ascii="Verdana" w:hAnsi="Verdana"/>
          <w:sz w:val="22"/>
          <w:szCs w:val="22"/>
          <w:lang w:val="es-CL" w:eastAsia="es-CL"/>
        </w:rPr>
        <w:t xml:space="preserve"> (DIN) y </w:t>
      </w:r>
      <w:r w:rsidR="00D534A1">
        <w:rPr>
          <w:rFonts w:ascii="Verdana" w:hAnsi="Verdana"/>
          <w:sz w:val="22"/>
          <w:szCs w:val="22"/>
          <w:lang w:val="es-CL" w:eastAsia="es-CL"/>
        </w:rPr>
        <w:t>declaración</w:t>
      </w:r>
      <w:r w:rsidR="003D2D41">
        <w:rPr>
          <w:rFonts w:ascii="Verdana" w:hAnsi="Verdana"/>
          <w:sz w:val="22"/>
          <w:szCs w:val="22"/>
          <w:lang w:val="es-CL" w:eastAsia="es-CL"/>
        </w:rPr>
        <w:t xml:space="preserve"> única de salida</w:t>
      </w:r>
      <w:r w:rsidR="005C1706">
        <w:rPr>
          <w:rFonts w:ascii="Verdana" w:hAnsi="Verdana"/>
          <w:sz w:val="22"/>
          <w:szCs w:val="22"/>
          <w:lang w:val="es-CL" w:eastAsia="es-CL"/>
        </w:rPr>
        <w:t xml:space="preserve"> (DUS</w:t>
      </w:r>
      <w:r w:rsidR="003D2D41">
        <w:rPr>
          <w:rFonts w:ascii="Verdana" w:hAnsi="Verdana"/>
          <w:sz w:val="22"/>
          <w:szCs w:val="22"/>
          <w:lang w:val="es-CL" w:eastAsia="es-CL"/>
        </w:rPr>
        <w:t>-LEG</w:t>
      </w:r>
      <w:r w:rsidR="005C1706">
        <w:rPr>
          <w:rFonts w:ascii="Verdana" w:hAnsi="Verdana"/>
          <w:sz w:val="22"/>
          <w:szCs w:val="22"/>
          <w:lang w:val="es-CL" w:eastAsia="es-CL"/>
        </w:rPr>
        <w:t>)</w:t>
      </w:r>
      <w:r w:rsidR="005C1706" w:rsidRPr="005C1706">
        <w:rPr>
          <w:rFonts w:ascii="Verdana" w:hAnsi="Verdana"/>
          <w:sz w:val="22"/>
          <w:szCs w:val="22"/>
          <w:lang w:val="es-CL" w:eastAsia="es-CL"/>
        </w:rPr>
        <w:t>, como asimismo efectuar las validaciones computacionales necesarias,</w:t>
      </w:r>
    </w:p>
    <w:p w:rsidR="005C1706" w:rsidRDefault="005C1706" w:rsidP="00C70D4C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BB06C9" w:rsidRPr="00515C08" w:rsidRDefault="0005522E" w:rsidP="00BB06C9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 xml:space="preserve">                                                  </w:t>
      </w:r>
      <w:r w:rsidR="00BB06C9" w:rsidRPr="00515C08">
        <w:rPr>
          <w:rFonts w:ascii="Verdana" w:hAnsi="Verdana"/>
          <w:b/>
          <w:sz w:val="22"/>
          <w:szCs w:val="22"/>
          <w:lang w:val="es-CL" w:eastAsia="es-CL"/>
        </w:rPr>
        <w:t xml:space="preserve">TENIENDO PRESENTE: </w:t>
      </w:r>
      <w:r w:rsidR="00BB06C9" w:rsidRPr="00515C08">
        <w:rPr>
          <w:rFonts w:ascii="Verdana" w:hAnsi="Verdana"/>
          <w:sz w:val="22"/>
          <w:szCs w:val="22"/>
          <w:lang w:val="es-CL" w:eastAsia="es-CL"/>
        </w:rPr>
        <w:t>Las normas citadas, la Resolución N° 1600 de 2008 de la Contraloría General de la República, sobre exención de trámite de toma de razón y las facultades que me confiere el número 8 del artículo 4 de la Ley Orgánica del Servicio Nacional de Aduanas, dicto la siguiente:</w:t>
      </w:r>
    </w:p>
    <w:p w:rsidR="00563F36" w:rsidRDefault="00563F36" w:rsidP="007B3F90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5C1706" w:rsidRDefault="005C1706" w:rsidP="007B3F90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05522E" w:rsidRDefault="005C1706" w:rsidP="007B3F90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 xml:space="preserve">                                 </w:t>
      </w:r>
      <w:r w:rsidR="004B7FB2">
        <w:rPr>
          <w:rFonts w:ascii="Verdana" w:hAnsi="Verdana"/>
          <w:b/>
          <w:sz w:val="22"/>
          <w:szCs w:val="22"/>
          <w:lang w:val="es-CL" w:eastAsia="es-CL"/>
        </w:rPr>
        <w:t xml:space="preserve">               </w:t>
      </w:r>
    </w:p>
    <w:p w:rsidR="0005522E" w:rsidRDefault="0005522E" w:rsidP="007B3F90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05522E" w:rsidRDefault="0005522E" w:rsidP="007B3F90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05522E" w:rsidRDefault="0005522E" w:rsidP="007B3F90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05522E" w:rsidRDefault="0005522E" w:rsidP="007B3F90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5C1706" w:rsidRDefault="0005522E" w:rsidP="007B3F90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 xml:space="preserve">                                             </w:t>
      </w:r>
      <w:r w:rsidR="004B7FB2">
        <w:rPr>
          <w:rFonts w:ascii="Verdana" w:hAnsi="Verdana"/>
          <w:b/>
          <w:sz w:val="22"/>
          <w:szCs w:val="22"/>
          <w:lang w:val="es-CL" w:eastAsia="es-CL"/>
        </w:rPr>
        <w:t>R E S O L U C I Ó</w:t>
      </w:r>
      <w:r w:rsidR="005C1706">
        <w:rPr>
          <w:rFonts w:ascii="Verdana" w:hAnsi="Verdana"/>
          <w:b/>
          <w:sz w:val="22"/>
          <w:szCs w:val="22"/>
          <w:lang w:val="es-CL" w:eastAsia="es-CL"/>
        </w:rPr>
        <w:t xml:space="preserve"> N:</w:t>
      </w:r>
    </w:p>
    <w:p w:rsidR="005C1706" w:rsidRDefault="005C1706" w:rsidP="007B3F90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5C1706" w:rsidRDefault="005C1706" w:rsidP="007B3F90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4B7FB2" w:rsidRPr="00146A4C" w:rsidRDefault="004B7FB2" w:rsidP="00146A4C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>I.- MODI</w:t>
      </w:r>
      <w:r w:rsidR="0005522E">
        <w:rPr>
          <w:rFonts w:ascii="Verdana" w:hAnsi="Verdana"/>
          <w:b/>
          <w:sz w:val="22"/>
          <w:szCs w:val="22"/>
          <w:lang w:val="es-CL" w:eastAsia="es-CL"/>
        </w:rPr>
        <w:t>FÍ</w:t>
      </w:r>
      <w:r>
        <w:rPr>
          <w:rFonts w:ascii="Verdana" w:hAnsi="Verdana"/>
          <w:b/>
          <w:sz w:val="22"/>
          <w:szCs w:val="22"/>
          <w:lang w:val="es-CL" w:eastAsia="es-CL"/>
        </w:rPr>
        <w:t>CA</w:t>
      </w:r>
      <w:r w:rsidR="005C1706">
        <w:rPr>
          <w:rFonts w:ascii="Verdana" w:hAnsi="Verdana"/>
          <w:b/>
          <w:sz w:val="22"/>
          <w:szCs w:val="22"/>
          <w:lang w:val="es-CL" w:eastAsia="es-CL"/>
        </w:rPr>
        <w:t>SE</w:t>
      </w:r>
      <w:r w:rsidRPr="00146A4C">
        <w:rPr>
          <w:rFonts w:ascii="Verdana" w:hAnsi="Verdana"/>
          <w:b/>
          <w:sz w:val="22"/>
          <w:szCs w:val="22"/>
          <w:lang w:val="es-CL" w:eastAsia="es-CL"/>
        </w:rPr>
        <w:t xml:space="preserve">  </w:t>
      </w:r>
      <w:r w:rsidRPr="004B7FB2">
        <w:rPr>
          <w:rFonts w:ascii="Verdana" w:hAnsi="Verdana"/>
          <w:sz w:val="22"/>
          <w:szCs w:val="22"/>
          <w:lang w:val="es-CL" w:eastAsia="es-CL"/>
        </w:rPr>
        <w:t>el Compendio de Normas Aduaneras, como se indica:</w:t>
      </w:r>
    </w:p>
    <w:p w:rsidR="00146A4C" w:rsidRDefault="004B7FB2" w:rsidP="00146A4C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  <w:r w:rsidRPr="00146A4C">
        <w:rPr>
          <w:rFonts w:ascii="Verdana" w:hAnsi="Verdana"/>
          <w:b/>
          <w:sz w:val="22"/>
          <w:szCs w:val="22"/>
          <w:lang w:val="es-CL" w:eastAsia="es-CL"/>
        </w:rPr>
        <w:t xml:space="preserve">     </w:t>
      </w:r>
    </w:p>
    <w:p w:rsidR="004B7FB2" w:rsidRPr="00146A4C" w:rsidRDefault="00146A4C" w:rsidP="00146A4C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 xml:space="preserve">     </w:t>
      </w:r>
      <w:r w:rsidR="00085DE6">
        <w:rPr>
          <w:rFonts w:ascii="Verdana" w:hAnsi="Verdana"/>
          <w:b/>
          <w:sz w:val="22"/>
          <w:szCs w:val="22"/>
          <w:lang w:val="es-CL" w:eastAsia="es-CL"/>
        </w:rPr>
        <w:t xml:space="preserve">1.- </w:t>
      </w:r>
      <w:r w:rsidR="0005522E">
        <w:rPr>
          <w:rFonts w:ascii="Verdana" w:hAnsi="Verdana"/>
          <w:b/>
          <w:sz w:val="22"/>
          <w:szCs w:val="22"/>
          <w:lang w:val="es-CL" w:eastAsia="es-CL"/>
        </w:rPr>
        <w:t>CAPÍ</w:t>
      </w:r>
      <w:r w:rsidR="003A6794" w:rsidRPr="00146A4C">
        <w:rPr>
          <w:rFonts w:ascii="Verdana" w:hAnsi="Verdana"/>
          <w:b/>
          <w:sz w:val="22"/>
          <w:szCs w:val="22"/>
          <w:lang w:val="es-CL" w:eastAsia="es-CL"/>
        </w:rPr>
        <w:t>TULO IV</w:t>
      </w:r>
    </w:p>
    <w:p w:rsidR="00146A4C" w:rsidRDefault="003A6794" w:rsidP="00146A4C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  <w:r w:rsidRPr="00146A4C">
        <w:rPr>
          <w:rFonts w:ascii="Verdana" w:hAnsi="Verdana"/>
          <w:b/>
          <w:sz w:val="22"/>
          <w:szCs w:val="22"/>
          <w:lang w:val="es-CL" w:eastAsia="es-CL"/>
        </w:rPr>
        <w:t xml:space="preserve">     </w:t>
      </w:r>
    </w:p>
    <w:p w:rsidR="003A6794" w:rsidRPr="00146A4C" w:rsidRDefault="00146A4C" w:rsidP="00146A4C">
      <w:pPr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 xml:space="preserve">   </w:t>
      </w:r>
      <w:r w:rsidR="00085DE6">
        <w:rPr>
          <w:rFonts w:ascii="Verdana" w:hAnsi="Verdana"/>
          <w:b/>
          <w:sz w:val="22"/>
          <w:szCs w:val="22"/>
          <w:lang w:val="es-CL" w:eastAsia="es-CL"/>
        </w:rPr>
        <w:t xml:space="preserve">     </w:t>
      </w:r>
      <w:r>
        <w:rPr>
          <w:rFonts w:ascii="Verdana" w:hAnsi="Verdana"/>
          <w:b/>
          <w:sz w:val="22"/>
          <w:szCs w:val="22"/>
          <w:lang w:val="es-CL" w:eastAsia="es-CL"/>
        </w:rPr>
        <w:t xml:space="preserve">  </w:t>
      </w:r>
      <w:r w:rsidR="003A6794" w:rsidRPr="00146A4C">
        <w:rPr>
          <w:rFonts w:ascii="Verdana" w:hAnsi="Verdana"/>
          <w:b/>
          <w:sz w:val="22"/>
          <w:szCs w:val="22"/>
          <w:lang w:val="es-CL" w:eastAsia="es-CL"/>
        </w:rPr>
        <w:t>1</w:t>
      </w:r>
      <w:r w:rsidR="00085DE6">
        <w:rPr>
          <w:rFonts w:ascii="Verdana" w:hAnsi="Verdana"/>
          <w:b/>
          <w:sz w:val="22"/>
          <w:szCs w:val="22"/>
          <w:lang w:val="es-CL" w:eastAsia="es-CL"/>
        </w:rPr>
        <w:t>.1</w:t>
      </w:r>
      <w:r w:rsidR="0005522E">
        <w:rPr>
          <w:rFonts w:ascii="Verdana" w:hAnsi="Verdana"/>
          <w:b/>
          <w:sz w:val="22"/>
          <w:szCs w:val="22"/>
          <w:lang w:val="es-CL" w:eastAsia="es-CL"/>
        </w:rPr>
        <w:t xml:space="preserve"> AGRÉ</w:t>
      </w:r>
      <w:r w:rsidR="003A6794" w:rsidRPr="00146A4C">
        <w:rPr>
          <w:rFonts w:ascii="Verdana" w:hAnsi="Verdana"/>
          <w:b/>
          <w:sz w:val="22"/>
          <w:szCs w:val="22"/>
          <w:lang w:val="es-CL" w:eastAsia="es-CL"/>
        </w:rPr>
        <w:t>GASE</w:t>
      </w:r>
      <w:r>
        <w:rPr>
          <w:rFonts w:ascii="Verdana" w:hAnsi="Verdana"/>
          <w:b/>
          <w:sz w:val="22"/>
          <w:szCs w:val="22"/>
          <w:lang w:val="es-CL" w:eastAsia="es-CL"/>
        </w:rPr>
        <w:t xml:space="preserve">, </w:t>
      </w:r>
      <w:r w:rsidRPr="00146A4C">
        <w:rPr>
          <w:rFonts w:ascii="Verdana" w:hAnsi="Verdana"/>
          <w:sz w:val="22"/>
          <w:szCs w:val="22"/>
          <w:lang w:val="es-CL" w:eastAsia="es-CL"/>
        </w:rPr>
        <w:t>el siguiente párrafo</w:t>
      </w:r>
      <w:r w:rsidR="003A6794" w:rsidRPr="00146A4C">
        <w:rPr>
          <w:rFonts w:ascii="Verdana" w:hAnsi="Verdana"/>
          <w:b/>
          <w:sz w:val="22"/>
          <w:szCs w:val="22"/>
          <w:lang w:val="es-CL" w:eastAsia="es-CL"/>
        </w:rPr>
        <w:t xml:space="preserve"> </w:t>
      </w:r>
      <w:r w:rsidRPr="00146A4C">
        <w:rPr>
          <w:rFonts w:ascii="Verdana" w:hAnsi="Verdana"/>
          <w:sz w:val="22"/>
          <w:szCs w:val="22"/>
          <w:lang w:val="es-CL" w:eastAsia="es-CL"/>
        </w:rPr>
        <w:t>al Numeral 8.10 del Ca</w:t>
      </w:r>
      <w:r>
        <w:rPr>
          <w:rFonts w:ascii="Verdana" w:hAnsi="Verdana"/>
          <w:sz w:val="22"/>
          <w:szCs w:val="22"/>
          <w:lang w:val="es-CL" w:eastAsia="es-CL"/>
        </w:rPr>
        <w:t>pítulo IV.</w:t>
      </w:r>
    </w:p>
    <w:p w:rsidR="00146A4C" w:rsidRDefault="00146A4C" w:rsidP="00146A4C">
      <w:pPr>
        <w:jc w:val="both"/>
        <w:rPr>
          <w:rFonts w:ascii="Verdana" w:hAnsi="Verdana"/>
          <w:sz w:val="22"/>
          <w:szCs w:val="22"/>
          <w:lang w:val="es-CL" w:eastAsia="es-CL"/>
        </w:rPr>
      </w:pPr>
      <w:r w:rsidRPr="00146A4C">
        <w:rPr>
          <w:rFonts w:ascii="Verdana" w:hAnsi="Verdana"/>
          <w:sz w:val="22"/>
          <w:szCs w:val="22"/>
          <w:lang w:val="es-CL" w:eastAsia="es-CL"/>
        </w:rPr>
        <w:t xml:space="preserve">          </w:t>
      </w:r>
    </w:p>
    <w:p w:rsidR="00146A4C" w:rsidRPr="004B7FB2" w:rsidRDefault="00146A4C" w:rsidP="00085DE6">
      <w:pPr>
        <w:ind w:left="1416"/>
        <w:jc w:val="both"/>
        <w:rPr>
          <w:rFonts w:ascii="Verdana" w:hAnsi="Verdana"/>
          <w:sz w:val="22"/>
          <w:szCs w:val="22"/>
          <w:lang w:val="es-CL" w:eastAsia="es-CL"/>
        </w:rPr>
      </w:pPr>
      <w:r w:rsidRPr="00146A4C">
        <w:rPr>
          <w:rFonts w:ascii="Verdana" w:hAnsi="Verdana"/>
          <w:sz w:val="22"/>
          <w:szCs w:val="22"/>
          <w:lang w:val="es-CL" w:eastAsia="es-CL"/>
        </w:rPr>
        <w:t>El despachador</w:t>
      </w:r>
      <w:r>
        <w:rPr>
          <w:rFonts w:ascii="Verdana" w:hAnsi="Verdana"/>
          <w:sz w:val="22"/>
          <w:szCs w:val="22"/>
          <w:lang w:val="es-CL" w:eastAsia="es-CL"/>
        </w:rPr>
        <w:t xml:space="preserve"> </w:t>
      </w:r>
      <w:r w:rsidR="003D2D41">
        <w:rPr>
          <w:rFonts w:ascii="Verdana" w:hAnsi="Verdana"/>
          <w:sz w:val="22"/>
          <w:szCs w:val="22"/>
          <w:lang w:val="es-CL" w:eastAsia="es-CL"/>
        </w:rPr>
        <w:t xml:space="preserve">de aduanas al momento de confeccionar el DUS-LEG, deberá </w:t>
      </w:r>
      <w:r w:rsidR="00C0478B">
        <w:rPr>
          <w:rFonts w:ascii="Verdana" w:hAnsi="Verdana"/>
          <w:sz w:val="22"/>
          <w:szCs w:val="22"/>
          <w:lang w:val="es-CL" w:eastAsia="es-CL"/>
        </w:rPr>
        <w:t>consigna</w:t>
      </w:r>
      <w:r w:rsidR="003D2D41">
        <w:rPr>
          <w:rFonts w:ascii="Verdana" w:hAnsi="Verdana"/>
          <w:sz w:val="22"/>
          <w:szCs w:val="22"/>
          <w:lang w:val="es-CL" w:eastAsia="es-CL"/>
        </w:rPr>
        <w:t>r</w:t>
      </w:r>
      <w:r w:rsidRPr="00146A4C">
        <w:rPr>
          <w:rFonts w:ascii="Verdana" w:hAnsi="Verdana"/>
          <w:sz w:val="22"/>
          <w:szCs w:val="22"/>
          <w:lang w:val="es-CL" w:eastAsia="es-CL"/>
        </w:rPr>
        <w:t xml:space="preserve"> en el recuadro Observaciones del primer ítem</w:t>
      </w:r>
      <w:r>
        <w:rPr>
          <w:rFonts w:ascii="Verdana" w:hAnsi="Verdana"/>
          <w:sz w:val="22"/>
          <w:szCs w:val="22"/>
          <w:lang w:val="es-CL" w:eastAsia="es-CL"/>
        </w:rPr>
        <w:t xml:space="preserve"> </w:t>
      </w:r>
      <w:r w:rsidRPr="00146A4C">
        <w:rPr>
          <w:rFonts w:ascii="Verdana" w:hAnsi="Verdana"/>
          <w:sz w:val="22"/>
          <w:szCs w:val="22"/>
          <w:lang w:val="es-CL" w:eastAsia="es-CL"/>
        </w:rPr>
        <w:t xml:space="preserve">asociado al </w:t>
      </w:r>
      <w:r w:rsidRPr="003D2D41">
        <w:rPr>
          <w:rFonts w:ascii="Verdana" w:hAnsi="Verdana"/>
          <w:b/>
          <w:sz w:val="22"/>
          <w:szCs w:val="22"/>
          <w:lang w:val="es-CL" w:eastAsia="es-CL"/>
        </w:rPr>
        <w:t>código 33</w:t>
      </w:r>
      <w:r w:rsidRPr="00146A4C">
        <w:rPr>
          <w:rFonts w:ascii="Verdana" w:hAnsi="Verdana"/>
          <w:sz w:val="22"/>
          <w:szCs w:val="22"/>
          <w:lang w:val="es-CL" w:eastAsia="es-CL"/>
        </w:rPr>
        <w:t xml:space="preserve"> </w:t>
      </w:r>
      <w:r w:rsidR="00A26E47">
        <w:rPr>
          <w:rFonts w:ascii="Verdana" w:hAnsi="Verdana"/>
          <w:sz w:val="22"/>
          <w:szCs w:val="22"/>
          <w:lang w:val="es-CL" w:eastAsia="es-CL"/>
        </w:rPr>
        <w:t xml:space="preserve">y en la glosa </w:t>
      </w:r>
      <w:r w:rsidR="00DD149F">
        <w:rPr>
          <w:rFonts w:ascii="Verdana" w:hAnsi="Verdana"/>
          <w:sz w:val="22"/>
          <w:szCs w:val="22"/>
          <w:lang w:val="es-CL" w:eastAsia="es-CL"/>
        </w:rPr>
        <w:t>el monto del “a</w:t>
      </w:r>
      <w:r w:rsidRPr="00146A4C">
        <w:rPr>
          <w:rFonts w:ascii="Verdana" w:hAnsi="Verdana"/>
          <w:sz w:val="22"/>
          <w:szCs w:val="22"/>
          <w:lang w:val="es-CL" w:eastAsia="es-CL"/>
        </w:rPr>
        <w:t xml:space="preserve">porte”, </w:t>
      </w:r>
      <w:r>
        <w:rPr>
          <w:rFonts w:ascii="Verdana" w:hAnsi="Verdana"/>
          <w:sz w:val="22"/>
          <w:szCs w:val="22"/>
          <w:lang w:val="es-CL" w:eastAsia="es-CL"/>
        </w:rPr>
        <w:t>establecido en el artículo 4 de la ley N° 20.773/2014,</w:t>
      </w:r>
      <w:r w:rsidR="00DD149F">
        <w:rPr>
          <w:rFonts w:ascii="Verdana" w:hAnsi="Verdana"/>
          <w:sz w:val="22"/>
          <w:szCs w:val="22"/>
          <w:lang w:val="es-CL" w:eastAsia="es-CL"/>
        </w:rPr>
        <w:t xml:space="preserve"> expresado en dólares de los EE.UU</w:t>
      </w:r>
      <w:r w:rsidR="00C0478B">
        <w:rPr>
          <w:rFonts w:ascii="Verdana" w:hAnsi="Verdana"/>
          <w:sz w:val="22"/>
          <w:szCs w:val="22"/>
          <w:lang w:val="es-CL" w:eastAsia="es-CL"/>
        </w:rPr>
        <w:t>,</w:t>
      </w:r>
      <w:r>
        <w:rPr>
          <w:rFonts w:ascii="Verdana" w:hAnsi="Verdana"/>
          <w:sz w:val="22"/>
          <w:szCs w:val="22"/>
          <w:lang w:val="es-CL" w:eastAsia="es-CL"/>
        </w:rPr>
        <w:t xml:space="preserve"> con diez enteros y dos decimales. Este aporte se aplicará a todas las mercancías en general</w:t>
      </w:r>
      <w:r w:rsidR="00C0478B">
        <w:rPr>
          <w:rFonts w:ascii="Verdana" w:hAnsi="Verdana"/>
          <w:sz w:val="22"/>
          <w:szCs w:val="22"/>
          <w:lang w:val="es-CL" w:eastAsia="es-CL"/>
        </w:rPr>
        <w:t xml:space="preserve"> que se exporten por puertos marítimos nacionales y será de 0,2 dólares de los EE.UU</w:t>
      </w:r>
      <w:r w:rsidR="006B0FB1">
        <w:rPr>
          <w:rFonts w:ascii="Verdana" w:hAnsi="Verdana"/>
          <w:sz w:val="22"/>
          <w:szCs w:val="22"/>
          <w:lang w:val="es-CL" w:eastAsia="es-CL"/>
        </w:rPr>
        <w:t xml:space="preserve"> de América</w:t>
      </w:r>
      <w:bookmarkStart w:id="0" w:name="_GoBack"/>
      <w:bookmarkEnd w:id="0"/>
      <w:r w:rsidR="00C0478B">
        <w:rPr>
          <w:rFonts w:ascii="Verdana" w:hAnsi="Verdana"/>
          <w:sz w:val="22"/>
          <w:szCs w:val="22"/>
          <w:lang w:val="es-CL" w:eastAsia="es-CL"/>
        </w:rPr>
        <w:t xml:space="preserve">, por cada tonelada, y no será exigible cuando el peso de la mercancía sea inferior a una tonelada. Sin embargo, el aporte no podrá exceder en el caso de la exportación, de 0,025 % del Valor FOB por cada tonelada de carga general. </w:t>
      </w:r>
    </w:p>
    <w:p w:rsidR="0066290B" w:rsidRDefault="004B7FB2" w:rsidP="00146A4C">
      <w:pPr>
        <w:jc w:val="both"/>
        <w:rPr>
          <w:rFonts w:ascii="Verdana" w:hAnsi="Verdana"/>
          <w:sz w:val="22"/>
          <w:szCs w:val="22"/>
          <w:lang w:val="es-CL" w:eastAsia="es-CL"/>
        </w:rPr>
      </w:pPr>
      <w:r w:rsidRPr="004B7FB2">
        <w:rPr>
          <w:rFonts w:ascii="Verdana" w:hAnsi="Verdana"/>
          <w:sz w:val="22"/>
          <w:szCs w:val="22"/>
          <w:lang w:val="es-CL" w:eastAsia="es-CL"/>
        </w:rPr>
        <w:t> </w:t>
      </w:r>
    </w:p>
    <w:p w:rsidR="0066290B" w:rsidRPr="004B7FB2" w:rsidRDefault="0066290B" w:rsidP="00146A4C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4B7FB2" w:rsidRPr="004B7FB2" w:rsidRDefault="0066290B" w:rsidP="00146A4C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 xml:space="preserve">      </w:t>
      </w:r>
      <w:r w:rsidR="00031A5D">
        <w:rPr>
          <w:rFonts w:ascii="Verdana" w:hAnsi="Verdana"/>
          <w:b/>
          <w:sz w:val="22"/>
          <w:szCs w:val="22"/>
          <w:lang w:val="es-CL" w:eastAsia="es-CL"/>
        </w:rPr>
        <w:t>2.-</w:t>
      </w:r>
      <w:r w:rsidR="00031A5D">
        <w:rPr>
          <w:rFonts w:ascii="Verdana" w:hAnsi="Verdana"/>
          <w:b/>
          <w:sz w:val="22"/>
          <w:szCs w:val="22"/>
          <w:lang w:val="es-CL" w:eastAsia="es-CL"/>
        </w:rPr>
        <w:tab/>
      </w:r>
      <w:r w:rsidR="004B7FB2" w:rsidRPr="004B7FB2">
        <w:rPr>
          <w:rFonts w:ascii="Verdana" w:hAnsi="Verdana"/>
          <w:b/>
          <w:sz w:val="22"/>
          <w:szCs w:val="22"/>
          <w:lang w:val="es-CL" w:eastAsia="es-CL"/>
        </w:rPr>
        <w:t>ANEXO</w:t>
      </w:r>
      <w:r>
        <w:rPr>
          <w:rFonts w:ascii="Verdana" w:hAnsi="Verdana"/>
          <w:b/>
          <w:sz w:val="22"/>
          <w:szCs w:val="22"/>
          <w:lang w:val="es-CL" w:eastAsia="es-CL"/>
        </w:rPr>
        <w:t xml:space="preserve"> 35</w:t>
      </w:r>
    </w:p>
    <w:p w:rsidR="0066290B" w:rsidRDefault="0066290B" w:rsidP="00146A4C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4B7FB2" w:rsidRDefault="00031A5D" w:rsidP="00031A5D">
      <w:pPr>
        <w:ind w:left="2127" w:hanging="709"/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>2.</w:t>
      </w:r>
      <w:r w:rsidR="004B7FB2" w:rsidRPr="004B7FB2">
        <w:rPr>
          <w:rFonts w:ascii="Verdana" w:hAnsi="Verdana"/>
          <w:b/>
          <w:sz w:val="22"/>
          <w:szCs w:val="22"/>
          <w:lang w:val="es-CL" w:eastAsia="es-CL"/>
        </w:rPr>
        <w:t>1. AGRÉGASE</w:t>
      </w:r>
      <w:r w:rsidR="0066290B">
        <w:rPr>
          <w:rFonts w:ascii="Verdana" w:hAnsi="Verdana"/>
          <w:b/>
          <w:sz w:val="22"/>
          <w:szCs w:val="22"/>
          <w:lang w:val="es-CL" w:eastAsia="es-CL"/>
        </w:rPr>
        <w:t xml:space="preserve">, en “Instrucciones Generales”, </w:t>
      </w:r>
      <w:r w:rsidR="0066290B" w:rsidRPr="0066290B">
        <w:rPr>
          <w:rFonts w:ascii="Verdana" w:hAnsi="Verdana"/>
          <w:sz w:val="22"/>
          <w:szCs w:val="22"/>
          <w:lang w:val="es-CL" w:eastAsia="es-CL"/>
        </w:rPr>
        <w:t>el siguiente párrafo:</w:t>
      </w:r>
    </w:p>
    <w:p w:rsidR="00E76B0F" w:rsidRDefault="00E76B0F" w:rsidP="00146A4C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5C1706" w:rsidRDefault="00E76B0F" w:rsidP="00031A5D">
      <w:pPr>
        <w:ind w:left="2127"/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sz w:val="22"/>
          <w:szCs w:val="22"/>
          <w:lang w:val="es-CL" w:eastAsia="es-CL"/>
        </w:rPr>
        <w:t>Conforme a lo dispuesto en el artículo 4 de la ley 20.773 de 2014, se establece un “aporte” de beneficio fiscal correspondi</w:t>
      </w:r>
      <w:r w:rsidR="003D2D41">
        <w:rPr>
          <w:rFonts w:ascii="Verdana" w:hAnsi="Verdana"/>
          <w:sz w:val="22"/>
          <w:szCs w:val="22"/>
          <w:lang w:val="es-CL" w:eastAsia="es-CL"/>
        </w:rPr>
        <w:t>ente a 0.2 dólares de los EE.UU de América,</w:t>
      </w:r>
      <w:r>
        <w:rPr>
          <w:rFonts w:ascii="Verdana" w:hAnsi="Verdana"/>
          <w:sz w:val="22"/>
          <w:szCs w:val="22"/>
          <w:lang w:val="es-CL" w:eastAsia="es-CL"/>
        </w:rPr>
        <w:t xml:space="preserve"> por cada una de las toneladas de carga general</w:t>
      </w:r>
      <w:r w:rsidR="00DD149F">
        <w:rPr>
          <w:rFonts w:ascii="Verdana" w:hAnsi="Verdana"/>
          <w:sz w:val="22"/>
          <w:szCs w:val="22"/>
          <w:lang w:val="es-CL" w:eastAsia="es-CL"/>
        </w:rPr>
        <w:t xml:space="preserve"> transferidas de cualquier tipo, </w:t>
      </w:r>
      <w:r>
        <w:rPr>
          <w:rFonts w:ascii="Verdana" w:hAnsi="Verdana"/>
          <w:sz w:val="22"/>
          <w:szCs w:val="22"/>
          <w:lang w:val="es-CL" w:eastAsia="es-CL"/>
        </w:rPr>
        <w:t>que se exporte por puertos marítimos nacionales. Este aporte debe</w:t>
      </w:r>
      <w:r w:rsidR="00A26E47">
        <w:rPr>
          <w:rFonts w:ascii="Verdana" w:hAnsi="Verdana"/>
          <w:sz w:val="22"/>
          <w:szCs w:val="22"/>
          <w:lang w:val="es-CL" w:eastAsia="es-CL"/>
        </w:rPr>
        <w:t>rá</w:t>
      </w:r>
      <w:r>
        <w:rPr>
          <w:rFonts w:ascii="Verdana" w:hAnsi="Verdana"/>
          <w:sz w:val="22"/>
          <w:szCs w:val="22"/>
          <w:lang w:val="es-CL" w:eastAsia="es-CL"/>
        </w:rPr>
        <w:t xml:space="preserve"> ser declarado en la DUS-LEG, y el monto debe ser consignado en</w:t>
      </w:r>
      <w:r w:rsidR="00A26E47">
        <w:rPr>
          <w:rFonts w:ascii="Verdana" w:hAnsi="Verdana"/>
          <w:sz w:val="22"/>
          <w:szCs w:val="22"/>
          <w:lang w:val="es-CL" w:eastAsia="es-CL"/>
        </w:rPr>
        <w:t xml:space="preserve"> el recuadro Observaciones del primer ítem,</w:t>
      </w:r>
      <w:r>
        <w:rPr>
          <w:rFonts w:ascii="Verdana" w:hAnsi="Verdana"/>
          <w:sz w:val="22"/>
          <w:szCs w:val="22"/>
          <w:lang w:val="es-CL" w:eastAsia="es-CL"/>
        </w:rPr>
        <w:t xml:space="preserve"> asociado al </w:t>
      </w:r>
      <w:r w:rsidRPr="003D2D41">
        <w:rPr>
          <w:rFonts w:ascii="Verdana" w:hAnsi="Verdana"/>
          <w:b/>
          <w:sz w:val="22"/>
          <w:szCs w:val="22"/>
          <w:lang w:val="es-CL" w:eastAsia="es-CL"/>
        </w:rPr>
        <w:t>código 33</w:t>
      </w:r>
      <w:r w:rsidR="00A26E47">
        <w:rPr>
          <w:rFonts w:ascii="Verdana" w:hAnsi="Verdana"/>
          <w:b/>
          <w:sz w:val="22"/>
          <w:szCs w:val="22"/>
          <w:lang w:val="es-CL" w:eastAsia="es-CL"/>
        </w:rPr>
        <w:t xml:space="preserve"> </w:t>
      </w:r>
      <w:r w:rsidR="00A26E47" w:rsidRPr="00A26E47">
        <w:rPr>
          <w:rFonts w:ascii="Verdana" w:hAnsi="Verdana"/>
          <w:sz w:val="22"/>
          <w:szCs w:val="22"/>
          <w:lang w:val="es-CL" w:eastAsia="es-CL"/>
        </w:rPr>
        <w:t>y en la glosa el monto del aporte</w:t>
      </w:r>
      <w:r w:rsidRPr="00A26E47">
        <w:rPr>
          <w:rFonts w:ascii="Verdana" w:hAnsi="Verdana"/>
          <w:sz w:val="22"/>
          <w:szCs w:val="22"/>
          <w:lang w:val="es-CL" w:eastAsia="es-CL"/>
        </w:rPr>
        <w:t>.</w:t>
      </w:r>
      <w:r>
        <w:rPr>
          <w:rFonts w:ascii="Verdana" w:hAnsi="Verdana"/>
          <w:sz w:val="22"/>
          <w:szCs w:val="22"/>
          <w:lang w:val="es-CL" w:eastAsia="es-CL"/>
        </w:rPr>
        <w:t xml:space="preserve"> Este aporte no será exigible cuando el peso de la mercancía sea inferior a una tonelada. En caso de toneladas fraccionadas, deberá ajustarse a la tonelada superior cuando el primer decimal corresponda a la cifra 5 o superior. En caso contrario, deberá desestimarse</w:t>
      </w:r>
      <w:r w:rsidR="00DD149F">
        <w:rPr>
          <w:rFonts w:ascii="Verdana" w:hAnsi="Verdana"/>
          <w:sz w:val="22"/>
          <w:szCs w:val="22"/>
          <w:lang w:val="es-CL" w:eastAsia="es-CL"/>
        </w:rPr>
        <w:t xml:space="preserve"> el decimal</w:t>
      </w:r>
      <w:r>
        <w:rPr>
          <w:rFonts w:ascii="Verdana" w:hAnsi="Verdana"/>
          <w:sz w:val="22"/>
          <w:szCs w:val="22"/>
          <w:lang w:val="es-CL" w:eastAsia="es-CL"/>
        </w:rPr>
        <w:t>. El monto del aporte en las exportaciones deberá cancelarse mediante un Giro F-09 que será emitido y notificado en forma electrónica por el Servicio de Aduanas y tendrá un plazo de 15 días para ser cancelado</w:t>
      </w:r>
      <w:r w:rsidR="00DD149F">
        <w:rPr>
          <w:rFonts w:ascii="Verdana" w:hAnsi="Verdana"/>
          <w:sz w:val="22"/>
          <w:szCs w:val="22"/>
          <w:lang w:val="es-CL" w:eastAsia="es-CL"/>
        </w:rPr>
        <w:t xml:space="preserve"> </w:t>
      </w:r>
      <w:r w:rsidR="00994049" w:rsidRPr="006B0FB1">
        <w:rPr>
          <w:rFonts w:ascii="Verdana" w:hAnsi="Verdana"/>
          <w:sz w:val="22"/>
          <w:szCs w:val="22"/>
          <w:lang w:val="es-CL" w:eastAsia="es-CL"/>
        </w:rPr>
        <w:t>conta</w:t>
      </w:r>
      <w:r w:rsidR="00DD149F" w:rsidRPr="006B0FB1">
        <w:rPr>
          <w:rFonts w:ascii="Verdana" w:hAnsi="Verdana"/>
          <w:sz w:val="22"/>
          <w:szCs w:val="22"/>
          <w:lang w:val="es-CL" w:eastAsia="es-CL"/>
        </w:rPr>
        <w:t>do</w:t>
      </w:r>
      <w:r w:rsidR="00DD149F">
        <w:rPr>
          <w:rFonts w:ascii="Verdana" w:hAnsi="Verdana"/>
          <w:sz w:val="22"/>
          <w:szCs w:val="22"/>
          <w:lang w:val="es-CL" w:eastAsia="es-CL"/>
        </w:rPr>
        <w:t xml:space="preserve"> desde su notificación</w:t>
      </w:r>
      <w:r>
        <w:rPr>
          <w:rFonts w:ascii="Verdana" w:hAnsi="Verdana"/>
          <w:sz w:val="22"/>
          <w:szCs w:val="22"/>
          <w:lang w:val="es-CL" w:eastAsia="es-CL"/>
        </w:rPr>
        <w:t>.</w:t>
      </w:r>
    </w:p>
    <w:p w:rsidR="00085DE6" w:rsidRDefault="00085DE6" w:rsidP="00085DE6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085DE6" w:rsidRDefault="00031A5D" w:rsidP="00031A5D">
      <w:pPr>
        <w:ind w:left="2124" w:hanging="706"/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 xml:space="preserve">2.2 </w:t>
      </w:r>
      <w:r w:rsidR="00085DE6" w:rsidRPr="00085DE6">
        <w:rPr>
          <w:rFonts w:ascii="Verdana" w:hAnsi="Verdana"/>
          <w:b/>
          <w:sz w:val="22"/>
          <w:szCs w:val="22"/>
          <w:lang w:val="es-CL" w:eastAsia="es-CL"/>
        </w:rPr>
        <w:t xml:space="preserve"> </w:t>
      </w:r>
      <w:r w:rsidR="0005522E">
        <w:rPr>
          <w:rFonts w:ascii="Verdana" w:hAnsi="Verdana"/>
          <w:b/>
          <w:sz w:val="22"/>
          <w:szCs w:val="22"/>
          <w:lang w:val="es-CL" w:eastAsia="es-CL"/>
        </w:rPr>
        <w:t>AGRÉ</w:t>
      </w:r>
      <w:r w:rsidR="00085DE6" w:rsidRPr="00085DE6">
        <w:rPr>
          <w:rFonts w:ascii="Verdana" w:hAnsi="Verdana"/>
          <w:b/>
          <w:sz w:val="22"/>
          <w:szCs w:val="22"/>
          <w:lang w:val="es-CL" w:eastAsia="es-CL"/>
        </w:rPr>
        <w:t>GASE</w:t>
      </w:r>
      <w:r w:rsidR="00085DE6">
        <w:rPr>
          <w:rFonts w:ascii="Verdana" w:hAnsi="Verdana"/>
          <w:sz w:val="22"/>
          <w:szCs w:val="22"/>
          <w:lang w:val="es-CL" w:eastAsia="es-CL"/>
        </w:rPr>
        <w:t xml:space="preserve">, al Numeral 11.12 Observaciones del </w:t>
      </w:r>
      <w:proofErr w:type="spellStart"/>
      <w:r w:rsidR="00085DE6">
        <w:rPr>
          <w:rFonts w:ascii="Verdana" w:hAnsi="Verdana"/>
          <w:sz w:val="22"/>
          <w:szCs w:val="22"/>
          <w:lang w:val="es-CL" w:eastAsia="es-CL"/>
        </w:rPr>
        <w:t>Item</w:t>
      </w:r>
      <w:proofErr w:type="spellEnd"/>
      <w:r w:rsidR="00085DE6">
        <w:rPr>
          <w:rFonts w:ascii="Verdana" w:hAnsi="Verdana"/>
          <w:sz w:val="22"/>
          <w:szCs w:val="22"/>
          <w:lang w:val="es-CL" w:eastAsia="es-CL"/>
        </w:rPr>
        <w:t>, el siguiente párrafo:</w:t>
      </w:r>
    </w:p>
    <w:p w:rsidR="00085DE6" w:rsidRDefault="00085DE6" w:rsidP="00085DE6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085DE6" w:rsidRPr="00031A5D" w:rsidRDefault="00085DE6" w:rsidP="00031A5D">
      <w:pPr>
        <w:ind w:left="2127"/>
        <w:jc w:val="both"/>
        <w:rPr>
          <w:rFonts w:ascii="Verdana" w:hAnsi="Verdana"/>
          <w:sz w:val="22"/>
          <w:szCs w:val="22"/>
          <w:lang w:val="es-CL" w:eastAsia="es-CL"/>
        </w:rPr>
      </w:pPr>
      <w:r w:rsidRPr="00031A5D">
        <w:rPr>
          <w:rFonts w:ascii="Verdana" w:hAnsi="Verdana"/>
          <w:sz w:val="22"/>
          <w:szCs w:val="22"/>
          <w:lang w:val="es-CL" w:eastAsia="es-CL"/>
        </w:rPr>
        <w:t>En el caso del DUS-LEG, se deberá consignar el monto del aporte establecido en el Art. 4° Ley 20</w:t>
      </w:r>
      <w:r w:rsidR="00DD149F">
        <w:rPr>
          <w:rFonts w:ascii="Verdana" w:hAnsi="Verdana"/>
          <w:sz w:val="22"/>
          <w:szCs w:val="22"/>
          <w:lang w:val="es-CL" w:eastAsia="es-CL"/>
        </w:rPr>
        <w:t>.</w:t>
      </w:r>
      <w:r w:rsidRPr="00031A5D">
        <w:rPr>
          <w:rFonts w:ascii="Verdana" w:hAnsi="Verdana"/>
          <w:sz w:val="22"/>
          <w:szCs w:val="22"/>
          <w:lang w:val="es-CL" w:eastAsia="es-CL"/>
        </w:rPr>
        <w:t>773/2014, expresado en dólares de los EE.</w:t>
      </w:r>
      <w:r w:rsidR="00A8590B">
        <w:rPr>
          <w:rFonts w:ascii="Verdana" w:hAnsi="Verdana"/>
          <w:sz w:val="22"/>
          <w:szCs w:val="22"/>
          <w:lang w:val="es-CL" w:eastAsia="es-CL"/>
        </w:rPr>
        <w:t xml:space="preserve">UU </w:t>
      </w:r>
      <w:r w:rsidRPr="00031A5D">
        <w:rPr>
          <w:rFonts w:ascii="Verdana" w:hAnsi="Verdana"/>
          <w:sz w:val="22"/>
          <w:szCs w:val="22"/>
          <w:lang w:val="es-CL" w:eastAsia="es-CL"/>
        </w:rPr>
        <w:t>de A</w:t>
      </w:r>
      <w:r w:rsidR="003D2D41">
        <w:rPr>
          <w:rFonts w:ascii="Verdana" w:hAnsi="Verdana"/>
          <w:sz w:val="22"/>
          <w:szCs w:val="22"/>
          <w:lang w:val="es-CL" w:eastAsia="es-CL"/>
        </w:rPr>
        <w:t>mérica,</w:t>
      </w:r>
      <w:r w:rsidRPr="00031A5D">
        <w:rPr>
          <w:rFonts w:ascii="Verdana" w:hAnsi="Verdana"/>
          <w:sz w:val="22"/>
          <w:szCs w:val="22"/>
          <w:lang w:val="es-CL" w:eastAsia="es-CL"/>
        </w:rPr>
        <w:t xml:space="preserve"> con diez enteros y dos decimales, asociado al código computacional </w:t>
      </w:r>
      <w:r w:rsidRPr="00031A5D">
        <w:rPr>
          <w:rFonts w:ascii="Verdana" w:hAnsi="Verdana"/>
          <w:b/>
          <w:sz w:val="22"/>
          <w:szCs w:val="22"/>
          <w:lang w:val="es-CL" w:eastAsia="es-CL"/>
        </w:rPr>
        <w:t>33.</w:t>
      </w:r>
    </w:p>
    <w:p w:rsidR="00B57CB0" w:rsidRPr="00B57CB0" w:rsidRDefault="00085DE6" w:rsidP="00B57CB0">
      <w:pPr>
        <w:jc w:val="both"/>
        <w:rPr>
          <w:rFonts w:ascii="Verdana" w:hAnsi="Verdana"/>
          <w:b/>
          <w:sz w:val="22"/>
          <w:szCs w:val="22"/>
          <w:lang w:val="es-CL" w:eastAsia="es-CL"/>
        </w:rPr>
      </w:pPr>
      <w:r w:rsidRPr="00B57CB0">
        <w:rPr>
          <w:rFonts w:ascii="Verdana" w:hAnsi="Verdana"/>
          <w:b/>
          <w:sz w:val="22"/>
          <w:szCs w:val="22"/>
          <w:lang w:val="es-CL" w:eastAsia="es-CL"/>
        </w:rPr>
        <w:t xml:space="preserve">   </w:t>
      </w:r>
    </w:p>
    <w:p w:rsidR="00FA7F97" w:rsidRDefault="00FA7F97" w:rsidP="00B57CB0">
      <w:pPr>
        <w:ind w:firstLine="708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FA7F97" w:rsidRDefault="00FA7F97" w:rsidP="00B57CB0">
      <w:pPr>
        <w:ind w:firstLine="708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FA7F97" w:rsidRDefault="00FA7F97" w:rsidP="00B57CB0">
      <w:pPr>
        <w:ind w:firstLine="708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FA7F97" w:rsidRDefault="00FA7F97" w:rsidP="00B57CB0">
      <w:pPr>
        <w:ind w:firstLine="708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FA7F97" w:rsidRDefault="00FA7F97" w:rsidP="00B57CB0">
      <w:pPr>
        <w:ind w:firstLine="708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FA7F97" w:rsidRDefault="00FA7F97" w:rsidP="00B57CB0">
      <w:pPr>
        <w:ind w:firstLine="708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085DE6" w:rsidRPr="00B57CB0" w:rsidRDefault="00085DE6" w:rsidP="00B57CB0">
      <w:pPr>
        <w:ind w:firstLine="708"/>
        <w:jc w:val="both"/>
        <w:rPr>
          <w:rFonts w:ascii="Verdana" w:hAnsi="Verdana"/>
          <w:b/>
          <w:sz w:val="22"/>
          <w:szCs w:val="22"/>
          <w:lang w:val="es-CL" w:eastAsia="es-CL"/>
        </w:rPr>
      </w:pPr>
      <w:r w:rsidRPr="00B57CB0">
        <w:rPr>
          <w:rFonts w:ascii="Verdana" w:hAnsi="Verdana"/>
          <w:b/>
          <w:sz w:val="22"/>
          <w:szCs w:val="22"/>
          <w:lang w:val="es-CL" w:eastAsia="es-CL"/>
        </w:rPr>
        <w:t xml:space="preserve">3.-   </w:t>
      </w:r>
      <w:r w:rsidR="00031A5D" w:rsidRPr="00B57CB0">
        <w:rPr>
          <w:rFonts w:ascii="Verdana" w:hAnsi="Verdana"/>
          <w:b/>
          <w:sz w:val="22"/>
          <w:szCs w:val="22"/>
          <w:lang w:val="es-CL" w:eastAsia="es-CL"/>
        </w:rPr>
        <w:tab/>
      </w:r>
      <w:r w:rsidRPr="00B57CB0">
        <w:rPr>
          <w:rFonts w:ascii="Verdana" w:hAnsi="Verdana"/>
          <w:b/>
          <w:sz w:val="22"/>
          <w:szCs w:val="22"/>
          <w:lang w:val="es-CL" w:eastAsia="es-CL"/>
        </w:rPr>
        <w:t>ANEXO 51</w:t>
      </w:r>
    </w:p>
    <w:p w:rsidR="00031A5D" w:rsidRPr="00B57CB0" w:rsidRDefault="00031A5D" w:rsidP="00B57CB0">
      <w:pPr>
        <w:ind w:left="2127"/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923655" w:rsidRDefault="0005522E" w:rsidP="00923655">
      <w:pPr>
        <w:ind w:left="2832" w:hanging="705"/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>3.1</w:t>
      </w:r>
      <w:r>
        <w:rPr>
          <w:rFonts w:ascii="Verdana" w:hAnsi="Verdana"/>
          <w:b/>
          <w:sz w:val="22"/>
          <w:szCs w:val="22"/>
          <w:lang w:val="es-CL" w:eastAsia="es-CL"/>
        </w:rPr>
        <w:tab/>
        <w:t>AGRÉ</w:t>
      </w:r>
      <w:r w:rsidR="00031A5D" w:rsidRPr="00B57CB0">
        <w:rPr>
          <w:rFonts w:ascii="Verdana" w:hAnsi="Verdana"/>
          <w:b/>
          <w:sz w:val="22"/>
          <w:szCs w:val="22"/>
          <w:lang w:val="es-CL" w:eastAsia="es-CL"/>
        </w:rPr>
        <w:t>GASE,</w:t>
      </w:r>
      <w:r w:rsidR="00B57CB0">
        <w:rPr>
          <w:rFonts w:ascii="Verdana" w:hAnsi="Verdana"/>
          <w:sz w:val="22"/>
          <w:szCs w:val="22"/>
          <w:lang w:val="es-CL" w:eastAsia="es-CL"/>
        </w:rPr>
        <w:t xml:space="preserve"> al </w:t>
      </w:r>
      <w:r w:rsidR="003D2D41">
        <w:rPr>
          <w:rFonts w:ascii="Verdana" w:hAnsi="Verdana"/>
          <w:sz w:val="22"/>
          <w:szCs w:val="22"/>
          <w:lang w:val="es-CL" w:eastAsia="es-CL"/>
        </w:rPr>
        <w:t>Anexo 51-32 Códigos de C</w:t>
      </w:r>
      <w:r w:rsidR="00B57CB0" w:rsidRPr="00B57CB0">
        <w:rPr>
          <w:rFonts w:ascii="Verdana" w:hAnsi="Verdana"/>
          <w:sz w:val="22"/>
          <w:szCs w:val="22"/>
          <w:lang w:val="es-CL" w:eastAsia="es-CL"/>
        </w:rPr>
        <w:t>uenta a indicar en giros comprobantes de pago</w:t>
      </w:r>
      <w:r w:rsidR="00923655">
        <w:rPr>
          <w:rFonts w:ascii="Verdana" w:hAnsi="Verdana"/>
          <w:sz w:val="22"/>
          <w:szCs w:val="22"/>
          <w:lang w:val="es-CL" w:eastAsia="es-CL"/>
        </w:rPr>
        <w:t>, el siguiente código:</w:t>
      </w:r>
    </w:p>
    <w:p w:rsidR="00923655" w:rsidRDefault="00923655" w:rsidP="00B57CB0">
      <w:pPr>
        <w:ind w:left="2127"/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923655" w:rsidRDefault="00923655" w:rsidP="00B57CB0">
      <w:pPr>
        <w:ind w:left="2127"/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sz w:val="22"/>
          <w:szCs w:val="22"/>
          <w:lang w:val="es-CL" w:eastAsia="es-CL"/>
        </w:rPr>
        <w:t xml:space="preserve">         Código de Cuenta    Descripción                Fuente Legal</w:t>
      </w:r>
    </w:p>
    <w:p w:rsidR="00984724" w:rsidRDefault="00984724" w:rsidP="00B57CB0">
      <w:pPr>
        <w:ind w:left="2127"/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984724" w:rsidRDefault="00984724" w:rsidP="00B57CB0">
      <w:pPr>
        <w:ind w:left="2127"/>
        <w:jc w:val="both"/>
        <w:rPr>
          <w:rFonts w:ascii="Verdana" w:hAnsi="Verdana"/>
          <w:sz w:val="22"/>
          <w:szCs w:val="22"/>
          <w:lang w:val="es-CL" w:eastAsia="es-CL"/>
        </w:rPr>
      </w:pPr>
      <w:r w:rsidRPr="0005522E">
        <w:rPr>
          <w:rFonts w:ascii="Verdana" w:hAnsi="Verdana"/>
          <w:b/>
          <w:sz w:val="22"/>
          <w:szCs w:val="22"/>
          <w:lang w:val="es-CL" w:eastAsia="es-CL"/>
        </w:rPr>
        <w:t xml:space="preserve">         </w:t>
      </w:r>
      <w:r w:rsidR="00262EEA">
        <w:rPr>
          <w:rFonts w:ascii="Verdana" w:hAnsi="Verdana"/>
          <w:b/>
          <w:sz w:val="22"/>
          <w:szCs w:val="22"/>
          <w:lang w:val="es-CL" w:eastAsia="es-CL"/>
        </w:rPr>
        <w:t>300</w:t>
      </w:r>
      <w:r>
        <w:rPr>
          <w:rFonts w:ascii="Verdana" w:hAnsi="Verdana"/>
          <w:sz w:val="22"/>
          <w:szCs w:val="22"/>
          <w:lang w:val="es-CL" w:eastAsia="es-CL"/>
        </w:rPr>
        <w:t xml:space="preserve">           </w:t>
      </w:r>
      <w:r w:rsidR="00721EF4">
        <w:rPr>
          <w:rFonts w:ascii="Verdana" w:hAnsi="Verdana"/>
          <w:sz w:val="22"/>
          <w:szCs w:val="22"/>
          <w:lang w:val="es-CL" w:eastAsia="es-CL"/>
        </w:rPr>
        <w:t xml:space="preserve"> </w:t>
      </w:r>
      <w:r>
        <w:rPr>
          <w:rFonts w:ascii="Verdana" w:hAnsi="Verdana"/>
          <w:sz w:val="22"/>
          <w:szCs w:val="22"/>
          <w:lang w:val="es-CL" w:eastAsia="es-CL"/>
        </w:rPr>
        <w:t xml:space="preserve"> Aporte Portuario             Art.4°L.20773/14</w:t>
      </w:r>
    </w:p>
    <w:p w:rsidR="00B57CB0" w:rsidRPr="00B57CB0" w:rsidRDefault="00031A5D" w:rsidP="00B57CB0">
      <w:pPr>
        <w:ind w:left="2127"/>
        <w:jc w:val="both"/>
        <w:rPr>
          <w:rFonts w:ascii="Verdana" w:hAnsi="Verdana"/>
          <w:sz w:val="22"/>
          <w:szCs w:val="22"/>
          <w:lang w:val="es-CL" w:eastAsia="es-CL"/>
        </w:rPr>
      </w:pPr>
      <w:r w:rsidRPr="00B57CB0">
        <w:rPr>
          <w:rFonts w:ascii="Verdana" w:hAnsi="Verdana"/>
          <w:sz w:val="22"/>
          <w:szCs w:val="22"/>
          <w:lang w:val="es-CL" w:eastAsia="es-CL"/>
        </w:rPr>
        <w:t xml:space="preserve"> </w:t>
      </w:r>
    </w:p>
    <w:p w:rsidR="0005522E" w:rsidRDefault="0005522E" w:rsidP="0005522E">
      <w:pPr>
        <w:ind w:left="567" w:hanging="567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FA7F97" w:rsidRDefault="00FA7F97" w:rsidP="0005522E">
      <w:pPr>
        <w:ind w:left="567" w:hanging="567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532EA6" w:rsidRDefault="0005522E" w:rsidP="0005522E">
      <w:pPr>
        <w:ind w:left="567" w:hanging="567"/>
        <w:jc w:val="both"/>
        <w:rPr>
          <w:rFonts w:ascii="Verdana" w:hAnsi="Verdana"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 xml:space="preserve">II.- </w:t>
      </w:r>
      <w:r w:rsidR="00DD149F">
        <w:rPr>
          <w:rFonts w:ascii="Verdana" w:hAnsi="Verdana"/>
          <w:b/>
          <w:sz w:val="22"/>
          <w:szCs w:val="22"/>
          <w:lang w:val="es-CL" w:eastAsia="es-CL"/>
        </w:rPr>
        <w:tab/>
      </w:r>
      <w:r>
        <w:rPr>
          <w:rFonts w:ascii="Verdana" w:hAnsi="Verdana"/>
          <w:sz w:val="22"/>
          <w:szCs w:val="22"/>
          <w:lang w:val="es-CL" w:eastAsia="es-CL"/>
        </w:rPr>
        <w:t>Como consecuencia de lo anterior,</w:t>
      </w:r>
      <w:r w:rsidR="00532EA6">
        <w:rPr>
          <w:rFonts w:ascii="Verdana" w:hAnsi="Verdana"/>
          <w:sz w:val="22"/>
          <w:szCs w:val="22"/>
          <w:lang w:val="es-CL" w:eastAsia="es-CL"/>
        </w:rPr>
        <w:t xml:space="preserve"> sustitúyanse las Hojas CAP. IV-22; ANEXO 35-2; ANEXO 35-16 Y ANEXO 51-32, del Compendio de Normas Aduaneras, por las que se adjuntan.</w:t>
      </w:r>
      <w:r>
        <w:rPr>
          <w:rFonts w:ascii="Verdana" w:hAnsi="Verdana"/>
          <w:sz w:val="22"/>
          <w:szCs w:val="22"/>
          <w:lang w:val="es-CL" w:eastAsia="es-CL"/>
        </w:rPr>
        <w:t xml:space="preserve"> </w:t>
      </w:r>
    </w:p>
    <w:p w:rsidR="00532EA6" w:rsidRDefault="00532EA6" w:rsidP="0005522E">
      <w:pPr>
        <w:ind w:left="567" w:hanging="567"/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05522E" w:rsidRDefault="0005522E" w:rsidP="00532EA6">
      <w:pPr>
        <w:ind w:left="567" w:hanging="708"/>
        <w:jc w:val="both"/>
        <w:rPr>
          <w:rFonts w:ascii="Verdana" w:hAnsi="Verdana"/>
          <w:sz w:val="22"/>
          <w:szCs w:val="22"/>
          <w:lang w:val="es-CL" w:eastAsia="es-CL"/>
        </w:rPr>
      </w:pPr>
      <w:r w:rsidRPr="00DB6D58">
        <w:rPr>
          <w:rFonts w:ascii="Verdana" w:hAnsi="Verdana"/>
          <w:b/>
          <w:sz w:val="22"/>
          <w:szCs w:val="22"/>
          <w:lang w:val="es-CL" w:eastAsia="es-CL"/>
        </w:rPr>
        <w:t>III.-</w:t>
      </w:r>
      <w:r w:rsidR="00532EA6">
        <w:rPr>
          <w:rFonts w:ascii="Verdana" w:hAnsi="Verdana"/>
          <w:b/>
          <w:sz w:val="22"/>
          <w:szCs w:val="22"/>
          <w:lang w:val="es-CL" w:eastAsia="es-CL"/>
        </w:rPr>
        <w:tab/>
      </w:r>
      <w:r>
        <w:rPr>
          <w:rFonts w:ascii="Verdana" w:hAnsi="Verdana"/>
          <w:sz w:val="22"/>
          <w:szCs w:val="22"/>
          <w:lang w:val="es-CL" w:eastAsia="es-CL"/>
        </w:rPr>
        <w:t>La presente resolución empezará a partir de la fecha de publicación en el Diario Oficial.</w:t>
      </w:r>
    </w:p>
    <w:p w:rsidR="0005522E" w:rsidRDefault="0005522E" w:rsidP="0005522E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05522E" w:rsidRDefault="0005522E" w:rsidP="0005522E">
      <w:pPr>
        <w:jc w:val="both"/>
        <w:rPr>
          <w:rFonts w:ascii="Verdana" w:hAnsi="Verdana"/>
          <w:sz w:val="22"/>
          <w:szCs w:val="22"/>
          <w:lang w:val="es-CL" w:eastAsia="es-CL"/>
        </w:rPr>
      </w:pPr>
    </w:p>
    <w:p w:rsidR="0005522E" w:rsidRPr="00DB6D58" w:rsidRDefault="0005522E" w:rsidP="00532EA6">
      <w:pPr>
        <w:ind w:left="567"/>
        <w:jc w:val="both"/>
        <w:rPr>
          <w:rFonts w:ascii="Verdana" w:hAnsi="Verdana"/>
          <w:b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>ANÓTESE, COMUNÍQUESE Y PUBLÍ</w:t>
      </w:r>
      <w:r w:rsidRPr="00DB6D58">
        <w:rPr>
          <w:rFonts w:ascii="Verdana" w:hAnsi="Verdana"/>
          <w:b/>
          <w:sz w:val="22"/>
          <w:szCs w:val="22"/>
          <w:lang w:val="es-CL" w:eastAsia="es-CL"/>
        </w:rPr>
        <w:t>QUESE</w:t>
      </w:r>
      <w:r>
        <w:rPr>
          <w:rFonts w:ascii="Verdana" w:hAnsi="Verdana"/>
          <w:b/>
          <w:sz w:val="22"/>
          <w:szCs w:val="22"/>
          <w:lang w:val="es-CL" w:eastAsia="es-CL"/>
        </w:rPr>
        <w:t xml:space="preserve"> EN EL DIARIO OFICIAL Y EN LA PÁ</w:t>
      </w:r>
      <w:r w:rsidRPr="00DB6D58">
        <w:rPr>
          <w:rFonts w:ascii="Verdana" w:hAnsi="Verdana"/>
          <w:b/>
          <w:sz w:val="22"/>
          <w:szCs w:val="22"/>
          <w:lang w:val="es-CL" w:eastAsia="es-CL"/>
        </w:rPr>
        <w:t>GINA WEB DEL SERVICIO NACIONAL DE ADUANAS</w:t>
      </w:r>
    </w:p>
    <w:p w:rsidR="00B57CB0" w:rsidRDefault="00B57CB0" w:rsidP="00B57CB0">
      <w:pPr>
        <w:spacing w:line="408" w:lineRule="auto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532EA6" w:rsidRDefault="00532EA6" w:rsidP="00B57CB0">
      <w:pPr>
        <w:spacing w:line="408" w:lineRule="auto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532EA6" w:rsidRDefault="00532EA6" w:rsidP="00B57CB0">
      <w:pPr>
        <w:spacing w:line="408" w:lineRule="auto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532EA6" w:rsidRDefault="00532EA6" w:rsidP="00B57CB0">
      <w:pPr>
        <w:spacing w:line="408" w:lineRule="auto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532EA6" w:rsidRDefault="00532EA6" w:rsidP="00B57CB0">
      <w:pPr>
        <w:spacing w:line="408" w:lineRule="auto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532EA6" w:rsidRDefault="00532EA6" w:rsidP="00B57CB0">
      <w:pPr>
        <w:spacing w:line="408" w:lineRule="auto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532EA6" w:rsidRDefault="00532EA6" w:rsidP="00B57CB0">
      <w:pPr>
        <w:spacing w:line="408" w:lineRule="auto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532EA6" w:rsidRDefault="00532EA6" w:rsidP="00B57CB0">
      <w:pPr>
        <w:spacing w:line="408" w:lineRule="auto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532EA6" w:rsidRDefault="00532EA6" w:rsidP="00532EA6">
      <w:pPr>
        <w:ind w:left="567" w:hanging="708"/>
        <w:jc w:val="both"/>
        <w:rPr>
          <w:rFonts w:ascii="Verdana" w:hAnsi="Verdana"/>
          <w:b/>
          <w:sz w:val="22"/>
          <w:szCs w:val="22"/>
          <w:lang w:val="es-CL" w:eastAsia="es-CL"/>
        </w:rPr>
      </w:pPr>
      <w:r>
        <w:rPr>
          <w:rFonts w:ascii="Verdana" w:hAnsi="Verdana"/>
          <w:b/>
          <w:sz w:val="22"/>
          <w:szCs w:val="22"/>
          <w:lang w:val="es-CL" w:eastAsia="es-CL"/>
        </w:rPr>
        <w:t>AAL/GFA/GLH/GMA</w:t>
      </w:r>
    </w:p>
    <w:p w:rsidR="00532EA6" w:rsidRDefault="00532EA6" w:rsidP="00532EA6">
      <w:pPr>
        <w:ind w:left="567" w:hanging="708"/>
        <w:jc w:val="both"/>
        <w:rPr>
          <w:rFonts w:ascii="Verdana" w:hAnsi="Verdana"/>
          <w:b/>
          <w:sz w:val="16"/>
          <w:szCs w:val="16"/>
          <w:lang w:val="es-CL" w:eastAsia="es-CL"/>
        </w:rPr>
      </w:pPr>
      <w:proofErr w:type="spellStart"/>
      <w:r>
        <w:rPr>
          <w:rFonts w:ascii="Verdana" w:hAnsi="Verdana"/>
          <w:b/>
          <w:sz w:val="22"/>
          <w:szCs w:val="22"/>
          <w:lang w:val="es-CL" w:eastAsia="es-CL"/>
        </w:rPr>
        <w:t>Arc</w:t>
      </w:r>
      <w:proofErr w:type="spellEnd"/>
      <w:r>
        <w:rPr>
          <w:rFonts w:ascii="Verdana" w:hAnsi="Verdana"/>
          <w:b/>
          <w:sz w:val="22"/>
          <w:szCs w:val="22"/>
          <w:lang w:val="es-CL" w:eastAsia="es-CL"/>
        </w:rPr>
        <w:t xml:space="preserve">: </w:t>
      </w:r>
      <w:r w:rsidRPr="00532EA6">
        <w:rPr>
          <w:rFonts w:ascii="Verdana" w:hAnsi="Verdana"/>
          <w:b/>
          <w:sz w:val="16"/>
          <w:szCs w:val="16"/>
          <w:lang w:val="es-CL" w:eastAsia="es-CL"/>
        </w:rPr>
        <w:t>Resolución Ley Corta de Puerto</w:t>
      </w:r>
    </w:p>
    <w:p w:rsidR="00532EA6" w:rsidRPr="00532EA6" w:rsidRDefault="00532EA6" w:rsidP="00532EA6">
      <w:pPr>
        <w:ind w:left="567" w:hanging="708"/>
        <w:jc w:val="both"/>
        <w:rPr>
          <w:rFonts w:ascii="Verdana" w:hAnsi="Verdana"/>
          <w:b/>
          <w:sz w:val="16"/>
          <w:szCs w:val="16"/>
          <w:lang w:val="es-CL" w:eastAsia="es-CL"/>
        </w:rPr>
      </w:pPr>
      <w:r w:rsidRPr="00532EA6">
        <w:rPr>
          <w:rFonts w:ascii="Verdana" w:hAnsi="Verdana"/>
          <w:b/>
          <w:sz w:val="16"/>
          <w:szCs w:val="16"/>
          <w:lang w:val="es-CL" w:eastAsia="es-CL"/>
        </w:rPr>
        <w:t>13.11.2014</w:t>
      </w:r>
    </w:p>
    <w:p w:rsidR="00532EA6" w:rsidRPr="00532EA6" w:rsidRDefault="00532EA6" w:rsidP="00532EA6">
      <w:pPr>
        <w:ind w:left="567" w:hanging="708"/>
        <w:jc w:val="both"/>
        <w:rPr>
          <w:rFonts w:ascii="Verdana" w:hAnsi="Verdana"/>
          <w:b/>
          <w:sz w:val="16"/>
          <w:szCs w:val="16"/>
          <w:lang w:val="es-CL" w:eastAsia="es-CL"/>
        </w:rPr>
      </w:pPr>
      <w:r w:rsidRPr="00532EA6">
        <w:rPr>
          <w:rFonts w:ascii="Verdana" w:hAnsi="Verdana"/>
          <w:b/>
          <w:sz w:val="16"/>
          <w:szCs w:val="16"/>
          <w:lang w:val="es-CL" w:eastAsia="es-CL"/>
        </w:rPr>
        <w:t>DISTRIBUCION</w:t>
      </w:r>
    </w:p>
    <w:p w:rsidR="00532EA6" w:rsidRPr="00532EA6" w:rsidRDefault="00532EA6" w:rsidP="00532EA6">
      <w:pPr>
        <w:ind w:left="567" w:hanging="708"/>
        <w:jc w:val="both"/>
        <w:rPr>
          <w:rFonts w:ascii="Verdana" w:hAnsi="Verdana"/>
          <w:b/>
          <w:sz w:val="16"/>
          <w:szCs w:val="16"/>
          <w:lang w:val="es-CL" w:eastAsia="es-CL"/>
        </w:rPr>
      </w:pPr>
      <w:r w:rsidRPr="00532EA6">
        <w:rPr>
          <w:rFonts w:ascii="Verdana" w:hAnsi="Verdana"/>
          <w:b/>
          <w:sz w:val="16"/>
          <w:szCs w:val="16"/>
          <w:lang w:val="es-CL" w:eastAsia="es-CL"/>
        </w:rPr>
        <w:t>ADUANAS ARICA/ P.ARENAS</w:t>
      </w:r>
    </w:p>
    <w:p w:rsidR="00532EA6" w:rsidRPr="00532EA6" w:rsidRDefault="00532EA6" w:rsidP="00532EA6">
      <w:pPr>
        <w:ind w:left="567" w:hanging="708"/>
        <w:jc w:val="both"/>
        <w:rPr>
          <w:rFonts w:ascii="Verdana" w:hAnsi="Verdana"/>
          <w:b/>
          <w:sz w:val="16"/>
          <w:szCs w:val="16"/>
          <w:lang w:val="es-CL" w:eastAsia="es-CL"/>
        </w:rPr>
      </w:pPr>
      <w:r w:rsidRPr="00532EA6">
        <w:rPr>
          <w:rFonts w:ascii="Verdana" w:hAnsi="Verdana"/>
          <w:b/>
          <w:sz w:val="16"/>
          <w:szCs w:val="16"/>
          <w:lang w:val="es-CL" w:eastAsia="es-CL"/>
        </w:rPr>
        <w:t>SUBDS Y DEPTOS DNA</w:t>
      </w:r>
    </w:p>
    <w:p w:rsidR="00532EA6" w:rsidRPr="00532EA6" w:rsidRDefault="00532EA6" w:rsidP="00532EA6">
      <w:pPr>
        <w:ind w:left="567" w:hanging="708"/>
        <w:jc w:val="both"/>
        <w:rPr>
          <w:rFonts w:ascii="Verdana" w:hAnsi="Verdana"/>
          <w:b/>
          <w:sz w:val="16"/>
          <w:szCs w:val="16"/>
          <w:lang w:val="es-CL" w:eastAsia="es-CL"/>
        </w:rPr>
      </w:pPr>
      <w:r w:rsidRPr="00532EA6">
        <w:rPr>
          <w:rFonts w:ascii="Verdana" w:hAnsi="Verdana"/>
          <w:b/>
          <w:sz w:val="16"/>
          <w:szCs w:val="16"/>
          <w:lang w:val="es-CL" w:eastAsia="es-CL"/>
        </w:rPr>
        <w:t>CAMARA ADUANERA DE CHILE AG.</w:t>
      </w:r>
    </w:p>
    <w:p w:rsidR="00532EA6" w:rsidRPr="00532EA6" w:rsidRDefault="00532EA6" w:rsidP="00532EA6">
      <w:pPr>
        <w:ind w:left="567" w:hanging="708"/>
        <w:jc w:val="both"/>
        <w:rPr>
          <w:rFonts w:ascii="Verdana" w:hAnsi="Verdana"/>
          <w:b/>
          <w:sz w:val="16"/>
          <w:szCs w:val="16"/>
          <w:lang w:val="es-CL" w:eastAsia="es-CL"/>
        </w:rPr>
      </w:pPr>
      <w:r w:rsidRPr="00532EA6">
        <w:rPr>
          <w:rFonts w:ascii="Verdana" w:hAnsi="Verdana"/>
          <w:b/>
          <w:sz w:val="16"/>
          <w:szCs w:val="16"/>
          <w:lang w:val="es-CL" w:eastAsia="es-CL"/>
        </w:rPr>
        <w:t>ANAGENA</w:t>
      </w:r>
      <w:r>
        <w:rPr>
          <w:rFonts w:ascii="Verdana" w:hAnsi="Verdana"/>
          <w:b/>
          <w:sz w:val="22"/>
          <w:szCs w:val="22"/>
          <w:lang w:val="es-CL" w:eastAsia="es-CL"/>
        </w:rPr>
        <w:t xml:space="preserve"> </w:t>
      </w:r>
      <w:r w:rsidRPr="00532EA6">
        <w:rPr>
          <w:rFonts w:ascii="Verdana" w:hAnsi="Verdana"/>
          <w:b/>
          <w:sz w:val="16"/>
          <w:szCs w:val="16"/>
          <w:lang w:val="es-CL" w:eastAsia="es-CL"/>
        </w:rPr>
        <w:t>AG.</w:t>
      </w:r>
    </w:p>
    <w:p w:rsidR="00532EA6" w:rsidRPr="00532EA6" w:rsidRDefault="00532EA6" w:rsidP="00532EA6">
      <w:pPr>
        <w:ind w:left="567" w:hanging="708"/>
        <w:jc w:val="both"/>
        <w:rPr>
          <w:rFonts w:ascii="Verdana" w:hAnsi="Verdana"/>
          <w:b/>
          <w:sz w:val="16"/>
          <w:szCs w:val="16"/>
          <w:lang w:val="es-CL" w:eastAsia="es-CL"/>
        </w:rPr>
      </w:pPr>
      <w:r w:rsidRPr="00532EA6">
        <w:rPr>
          <w:rFonts w:ascii="Verdana" w:hAnsi="Verdana"/>
          <w:b/>
          <w:sz w:val="16"/>
          <w:szCs w:val="16"/>
          <w:lang w:val="es-CL" w:eastAsia="es-CL"/>
        </w:rPr>
        <w:t>VAN EDI</w:t>
      </w:r>
    </w:p>
    <w:p w:rsidR="00031A5D" w:rsidRPr="00031A5D" w:rsidRDefault="00031A5D" w:rsidP="00532EA6">
      <w:pPr>
        <w:ind w:left="567" w:hanging="708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085DE6" w:rsidRPr="00532EA6" w:rsidRDefault="00085DE6" w:rsidP="00532EA6">
      <w:pPr>
        <w:ind w:left="567" w:hanging="708"/>
        <w:jc w:val="both"/>
        <w:rPr>
          <w:rFonts w:ascii="Verdana" w:hAnsi="Verdana"/>
          <w:b/>
          <w:sz w:val="22"/>
          <w:szCs w:val="22"/>
          <w:lang w:val="es-CL" w:eastAsia="es-CL"/>
        </w:rPr>
      </w:pPr>
    </w:p>
    <w:p w:rsidR="00085DE6" w:rsidRPr="00532EA6" w:rsidRDefault="00085DE6" w:rsidP="00532EA6">
      <w:pPr>
        <w:ind w:left="567" w:hanging="708"/>
        <w:jc w:val="both"/>
        <w:rPr>
          <w:rFonts w:ascii="Verdana" w:hAnsi="Verdana"/>
          <w:b/>
          <w:sz w:val="22"/>
          <w:szCs w:val="22"/>
          <w:lang w:val="es-CL" w:eastAsia="es-CL"/>
        </w:rPr>
      </w:pPr>
      <w:r w:rsidRPr="00532EA6">
        <w:rPr>
          <w:rFonts w:ascii="Verdana" w:hAnsi="Verdana"/>
          <w:b/>
          <w:sz w:val="22"/>
          <w:szCs w:val="22"/>
          <w:lang w:val="es-CL" w:eastAsia="es-CL"/>
        </w:rPr>
        <w:t xml:space="preserve">     </w:t>
      </w:r>
    </w:p>
    <w:sectPr w:rsidR="00085DE6" w:rsidRPr="00532EA6" w:rsidSect="00B0105D">
      <w:headerReference w:type="default" r:id="rId9"/>
      <w:footerReference w:type="default" r:id="rId10"/>
      <w:pgSz w:w="12242" w:h="18722" w:code="120"/>
      <w:pgMar w:top="0" w:right="1183" w:bottom="1418" w:left="1843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33" w:rsidRDefault="00986233">
      <w:r>
        <w:separator/>
      </w:r>
    </w:p>
  </w:endnote>
  <w:endnote w:type="continuationSeparator" w:id="0">
    <w:p w:rsidR="00986233" w:rsidRDefault="0098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81" w:rsidRDefault="00861544" w:rsidP="00ED34CA">
    <w:pPr>
      <w:pStyle w:val="Piedepgina"/>
      <w:tabs>
        <w:tab w:val="clear" w:pos="8504"/>
        <w:tab w:val="right" w:pos="10490"/>
      </w:tabs>
      <w:ind w:left="-1985"/>
    </w:pPr>
    <w:r>
      <w:rPr>
        <w:noProof/>
        <w:szCs w:val="20"/>
        <w:lang w:val="es-CL" w:eastAsia="es-C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-1004570</wp:posOffset>
              </wp:positionH>
              <wp:positionV relativeFrom="paragraph">
                <wp:posOffset>-1657985</wp:posOffset>
              </wp:positionV>
              <wp:extent cx="3086100" cy="996315"/>
              <wp:effectExtent l="0" t="0" r="0" b="0"/>
              <wp:wrapNone/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86100" cy="996315"/>
                        <a:chOff x="81" y="16619"/>
                        <a:chExt cx="4860" cy="1569"/>
                      </a:xfrm>
                    </wpg:grpSpPr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01" y="16924"/>
                          <a:ext cx="324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381" w:rsidRPr="00AA4610" w:rsidRDefault="00B35381" w:rsidP="00E83BB6">
                            <w:pPr>
                              <w:pStyle w:val="Piedepgina"/>
                              <w:tabs>
                                <w:tab w:val="clear" w:pos="8504"/>
                                <w:tab w:val="right" w:pos="10490"/>
                              </w:tabs>
                              <w:rPr>
                                <w:rFonts w:ascii="Verdana" w:hAnsi="Verdana"/>
                                <w:color w:val="999999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81" y="16619"/>
                          <a:ext cx="1609" cy="1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381" w:rsidRDefault="009B3B92">
                            <w:r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819150" cy="904875"/>
                                  <wp:effectExtent l="19050" t="0" r="0" b="0"/>
                                  <wp:docPr id="2" name="Imagen 2" descr="3378361543_1837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3378361543_1837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left:0;text-align:left;margin-left:-79.1pt;margin-top:-130.55pt;width:243pt;height:78.45pt;z-index:251657728" coordorigin="81,16619" coordsize="4860,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701;top:16924;width:32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B35381" w:rsidRPr="00AA4610" w:rsidRDefault="00B35381" w:rsidP="00E83BB6">
                      <w:pPr>
                        <w:pStyle w:val="Piedepgina"/>
                        <w:tabs>
                          <w:tab w:val="clear" w:pos="8504"/>
                          <w:tab w:val="right" w:pos="10490"/>
                        </w:tabs>
                        <w:rPr>
                          <w:rFonts w:ascii="Verdana" w:hAnsi="Verdana"/>
                          <w:color w:val="999999"/>
                          <w:sz w:val="16"/>
                        </w:rPr>
                      </w:pPr>
                    </w:p>
                  </w:txbxContent>
                </v:textbox>
              </v:shape>
              <v:shape id="Text Box 11" o:spid="_x0000_s1028" type="#_x0000_t202" style="position:absolute;left:81;top:16619;width:1609;height:15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<v:textbox style="mso-fit-shape-to-text:t">
                  <w:txbxContent>
                    <w:p w:rsidR="00B35381" w:rsidRDefault="009B3B92"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L" w:eastAsia="es-CL"/>
                        </w:rPr>
                        <w:drawing>
                          <wp:inline distT="0" distB="0" distL="0" distR="0">
                            <wp:extent cx="819150" cy="904875"/>
                            <wp:effectExtent l="19050" t="0" r="0" b="0"/>
                            <wp:docPr id="2" name="Imagen 2" descr="3378361543_1837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3378361543_1837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33" w:rsidRDefault="00986233">
      <w:r>
        <w:separator/>
      </w:r>
    </w:p>
  </w:footnote>
  <w:footnote w:type="continuationSeparator" w:id="0">
    <w:p w:rsidR="00986233" w:rsidRDefault="0098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81" w:rsidRDefault="009B3B92" w:rsidP="00C02272">
    <w:pPr>
      <w:pStyle w:val="Encabezado"/>
    </w:pPr>
    <w:r>
      <w:rPr>
        <w:noProof/>
        <w:lang w:val="es-CL" w:eastAsia="es-CL"/>
      </w:rPr>
      <w:drawing>
        <wp:inline distT="0" distB="0" distL="0" distR="0">
          <wp:extent cx="904875" cy="904875"/>
          <wp:effectExtent l="19050" t="0" r="9525" b="0"/>
          <wp:docPr id="1" name="Imagen 1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68E"/>
    <w:multiLevelType w:val="hybridMultilevel"/>
    <w:tmpl w:val="1A5A3042"/>
    <w:lvl w:ilvl="0" w:tplc="3C2E14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C378A"/>
    <w:multiLevelType w:val="hybridMultilevel"/>
    <w:tmpl w:val="C832C12E"/>
    <w:lvl w:ilvl="0" w:tplc="2A824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Unicode M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7271F"/>
    <w:multiLevelType w:val="hybridMultilevel"/>
    <w:tmpl w:val="5F409226"/>
    <w:lvl w:ilvl="0" w:tplc="B2FABAD8">
      <w:start w:val="2"/>
      <w:numFmt w:val="bullet"/>
      <w:lvlText w:val="-"/>
      <w:lvlJc w:val="left"/>
      <w:pPr>
        <w:ind w:left="120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5BA309C"/>
    <w:multiLevelType w:val="hybridMultilevel"/>
    <w:tmpl w:val="8AC898F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F5D88"/>
    <w:multiLevelType w:val="hybridMultilevel"/>
    <w:tmpl w:val="8B0E1410"/>
    <w:lvl w:ilvl="0" w:tplc="F4C49B7A">
      <w:start w:val="5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unga" w:hAnsi="Arial" w:cs="Arial" w:hint="default"/>
      </w:rPr>
    </w:lvl>
    <w:lvl w:ilvl="1" w:tplc="A308FBC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B55D3E"/>
    <w:multiLevelType w:val="hybridMultilevel"/>
    <w:tmpl w:val="C65C5CD6"/>
    <w:lvl w:ilvl="0" w:tplc="F3BC000A">
      <w:start w:val="2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6">
    <w:nsid w:val="534B2375"/>
    <w:multiLevelType w:val="hybridMultilevel"/>
    <w:tmpl w:val="1438EC9A"/>
    <w:lvl w:ilvl="0" w:tplc="A308FB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307715"/>
    <w:multiLevelType w:val="hybridMultilevel"/>
    <w:tmpl w:val="AC7814B4"/>
    <w:lvl w:ilvl="0" w:tplc="A308FBC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C23A20"/>
    <w:multiLevelType w:val="hybridMultilevel"/>
    <w:tmpl w:val="328C73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714BD7"/>
    <w:multiLevelType w:val="hybridMultilevel"/>
    <w:tmpl w:val="B25E6B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030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B23C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E2"/>
    <w:rsid w:val="00003D01"/>
    <w:rsid w:val="00031A5D"/>
    <w:rsid w:val="0005522E"/>
    <w:rsid w:val="00073BEC"/>
    <w:rsid w:val="000848B8"/>
    <w:rsid w:val="00085BAE"/>
    <w:rsid w:val="00085DE6"/>
    <w:rsid w:val="00086839"/>
    <w:rsid w:val="000A0A5C"/>
    <w:rsid w:val="000D4289"/>
    <w:rsid w:val="000E7092"/>
    <w:rsid w:val="000F3352"/>
    <w:rsid w:val="001044F1"/>
    <w:rsid w:val="0011268A"/>
    <w:rsid w:val="0011451D"/>
    <w:rsid w:val="00146A4C"/>
    <w:rsid w:val="00147765"/>
    <w:rsid w:val="00162FD1"/>
    <w:rsid w:val="00166B4E"/>
    <w:rsid w:val="00177DC2"/>
    <w:rsid w:val="002260D9"/>
    <w:rsid w:val="002307FC"/>
    <w:rsid w:val="0023121D"/>
    <w:rsid w:val="00231C7D"/>
    <w:rsid w:val="00240CD1"/>
    <w:rsid w:val="00246417"/>
    <w:rsid w:val="00262EEA"/>
    <w:rsid w:val="00281C46"/>
    <w:rsid w:val="00293E90"/>
    <w:rsid w:val="002D03C2"/>
    <w:rsid w:val="002D5572"/>
    <w:rsid w:val="002E0BA7"/>
    <w:rsid w:val="002F1E56"/>
    <w:rsid w:val="002F6774"/>
    <w:rsid w:val="00325D88"/>
    <w:rsid w:val="0038468A"/>
    <w:rsid w:val="003A6794"/>
    <w:rsid w:val="003B6263"/>
    <w:rsid w:val="003C1096"/>
    <w:rsid w:val="003C3E71"/>
    <w:rsid w:val="003D2524"/>
    <w:rsid w:val="003D2D41"/>
    <w:rsid w:val="003D3919"/>
    <w:rsid w:val="003E5FFE"/>
    <w:rsid w:val="004049AE"/>
    <w:rsid w:val="00422159"/>
    <w:rsid w:val="004312AD"/>
    <w:rsid w:val="00432FBA"/>
    <w:rsid w:val="004353FE"/>
    <w:rsid w:val="00446D9A"/>
    <w:rsid w:val="004560CE"/>
    <w:rsid w:val="004660FC"/>
    <w:rsid w:val="00473E86"/>
    <w:rsid w:val="00487FEC"/>
    <w:rsid w:val="00494CCF"/>
    <w:rsid w:val="004A1704"/>
    <w:rsid w:val="004A3329"/>
    <w:rsid w:val="004B7FB2"/>
    <w:rsid w:val="004D422A"/>
    <w:rsid w:val="004D4DD6"/>
    <w:rsid w:val="004D78E2"/>
    <w:rsid w:val="004F65D0"/>
    <w:rsid w:val="00516F5A"/>
    <w:rsid w:val="00523C73"/>
    <w:rsid w:val="00532EA6"/>
    <w:rsid w:val="00541534"/>
    <w:rsid w:val="00563F36"/>
    <w:rsid w:val="005668B9"/>
    <w:rsid w:val="005742B5"/>
    <w:rsid w:val="00587B70"/>
    <w:rsid w:val="00590E3E"/>
    <w:rsid w:val="005A3160"/>
    <w:rsid w:val="005A6C99"/>
    <w:rsid w:val="005B680C"/>
    <w:rsid w:val="005C1706"/>
    <w:rsid w:val="005C19CB"/>
    <w:rsid w:val="005D11EC"/>
    <w:rsid w:val="00620D82"/>
    <w:rsid w:val="00621408"/>
    <w:rsid w:val="00646512"/>
    <w:rsid w:val="00651C76"/>
    <w:rsid w:val="0066290B"/>
    <w:rsid w:val="0068168E"/>
    <w:rsid w:val="00687612"/>
    <w:rsid w:val="006A0FE0"/>
    <w:rsid w:val="006A4CCB"/>
    <w:rsid w:val="006B0FB1"/>
    <w:rsid w:val="006E5350"/>
    <w:rsid w:val="00713576"/>
    <w:rsid w:val="00714476"/>
    <w:rsid w:val="00721EF4"/>
    <w:rsid w:val="00753214"/>
    <w:rsid w:val="0076248A"/>
    <w:rsid w:val="0078371F"/>
    <w:rsid w:val="007A0FB5"/>
    <w:rsid w:val="007A4747"/>
    <w:rsid w:val="007A6720"/>
    <w:rsid w:val="007B3A86"/>
    <w:rsid w:val="007B3F90"/>
    <w:rsid w:val="007B51F7"/>
    <w:rsid w:val="007B6796"/>
    <w:rsid w:val="007C0A84"/>
    <w:rsid w:val="007D25F9"/>
    <w:rsid w:val="0080317C"/>
    <w:rsid w:val="00804384"/>
    <w:rsid w:val="008111E0"/>
    <w:rsid w:val="00835B98"/>
    <w:rsid w:val="00840CD8"/>
    <w:rsid w:val="008441E6"/>
    <w:rsid w:val="008605EB"/>
    <w:rsid w:val="00861544"/>
    <w:rsid w:val="008724D9"/>
    <w:rsid w:val="008A5654"/>
    <w:rsid w:val="008B4480"/>
    <w:rsid w:val="008C2645"/>
    <w:rsid w:val="008C7B8B"/>
    <w:rsid w:val="008F24F5"/>
    <w:rsid w:val="00911510"/>
    <w:rsid w:val="00923655"/>
    <w:rsid w:val="0096496A"/>
    <w:rsid w:val="00966141"/>
    <w:rsid w:val="00984724"/>
    <w:rsid w:val="00985F9D"/>
    <w:rsid w:val="00986233"/>
    <w:rsid w:val="00992ADE"/>
    <w:rsid w:val="00994049"/>
    <w:rsid w:val="009B3B92"/>
    <w:rsid w:val="009C3FF5"/>
    <w:rsid w:val="009F2A5A"/>
    <w:rsid w:val="00A213F8"/>
    <w:rsid w:val="00A22DBA"/>
    <w:rsid w:val="00A26E47"/>
    <w:rsid w:val="00A52775"/>
    <w:rsid w:val="00A65599"/>
    <w:rsid w:val="00A72DA0"/>
    <w:rsid w:val="00A76460"/>
    <w:rsid w:val="00A8590B"/>
    <w:rsid w:val="00A95664"/>
    <w:rsid w:val="00AB2D24"/>
    <w:rsid w:val="00AC0EB2"/>
    <w:rsid w:val="00AC5EEE"/>
    <w:rsid w:val="00AD3F98"/>
    <w:rsid w:val="00AE7503"/>
    <w:rsid w:val="00B0105D"/>
    <w:rsid w:val="00B0256F"/>
    <w:rsid w:val="00B07D0D"/>
    <w:rsid w:val="00B26628"/>
    <w:rsid w:val="00B271E0"/>
    <w:rsid w:val="00B35381"/>
    <w:rsid w:val="00B5509F"/>
    <w:rsid w:val="00B57CB0"/>
    <w:rsid w:val="00B67C1B"/>
    <w:rsid w:val="00B8126B"/>
    <w:rsid w:val="00B934CD"/>
    <w:rsid w:val="00BA557F"/>
    <w:rsid w:val="00BB06C9"/>
    <w:rsid w:val="00BC47DA"/>
    <w:rsid w:val="00BE4D7D"/>
    <w:rsid w:val="00C02272"/>
    <w:rsid w:val="00C0478B"/>
    <w:rsid w:val="00C37184"/>
    <w:rsid w:val="00C46DD6"/>
    <w:rsid w:val="00C548A9"/>
    <w:rsid w:val="00C70D4C"/>
    <w:rsid w:val="00C967CD"/>
    <w:rsid w:val="00CA7C0F"/>
    <w:rsid w:val="00CB656E"/>
    <w:rsid w:val="00CC55A2"/>
    <w:rsid w:val="00CE2B54"/>
    <w:rsid w:val="00D10123"/>
    <w:rsid w:val="00D534A1"/>
    <w:rsid w:val="00D94E0A"/>
    <w:rsid w:val="00DA7849"/>
    <w:rsid w:val="00DB0D3B"/>
    <w:rsid w:val="00DD0015"/>
    <w:rsid w:val="00DD149F"/>
    <w:rsid w:val="00E04FAF"/>
    <w:rsid w:val="00E33C44"/>
    <w:rsid w:val="00E667FF"/>
    <w:rsid w:val="00E708B0"/>
    <w:rsid w:val="00E70A7E"/>
    <w:rsid w:val="00E74BE7"/>
    <w:rsid w:val="00E76B0F"/>
    <w:rsid w:val="00E83BB6"/>
    <w:rsid w:val="00E86D68"/>
    <w:rsid w:val="00EA0FCB"/>
    <w:rsid w:val="00EA12B8"/>
    <w:rsid w:val="00EA79EA"/>
    <w:rsid w:val="00EB1E9C"/>
    <w:rsid w:val="00ED2D1E"/>
    <w:rsid w:val="00ED34CA"/>
    <w:rsid w:val="00EF4506"/>
    <w:rsid w:val="00F00BE2"/>
    <w:rsid w:val="00F03761"/>
    <w:rsid w:val="00F55574"/>
    <w:rsid w:val="00F55796"/>
    <w:rsid w:val="00F566DA"/>
    <w:rsid w:val="00F715C5"/>
    <w:rsid w:val="00F755AD"/>
    <w:rsid w:val="00F94030"/>
    <w:rsid w:val="00F9420D"/>
    <w:rsid w:val="00FA7F97"/>
    <w:rsid w:val="00FC0383"/>
    <w:rsid w:val="00FC5218"/>
    <w:rsid w:val="00FE4AB9"/>
    <w:rsid w:val="00FF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C76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E68A4"/>
    <w:pPr>
      <w:keepNext/>
      <w:outlineLvl w:val="0"/>
    </w:pPr>
    <w:rPr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E68A4"/>
    <w:pPr>
      <w:keepNext/>
      <w:outlineLvl w:val="1"/>
    </w:pPr>
    <w:rPr>
      <w:rFonts w:ascii="Arial" w:hAnsi="Arial" w:cs="Arial"/>
      <w:sz w:val="32"/>
      <w:lang w:val="es-ES" w:eastAsia="es-ES"/>
    </w:rPr>
  </w:style>
  <w:style w:type="paragraph" w:styleId="Ttulo4">
    <w:name w:val="heading 4"/>
    <w:basedOn w:val="Normal"/>
    <w:next w:val="Normal"/>
    <w:qFormat/>
    <w:rsid w:val="00CE68A4"/>
    <w:pPr>
      <w:keepNext/>
      <w:outlineLvl w:val="3"/>
    </w:pPr>
    <w:rPr>
      <w:rFonts w:ascii="Arial" w:hAnsi="Arial" w:cs="Arial"/>
      <w:sz w:val="28"/>
      <w:lang w:val="es-ES" w:eastAsia="es-ES"/>
    </w:rPr>
  </w:style>
  <w:style w:type="paragraph" w:styleId="Ttulo5">
    <w:name w:val="heading 5"/>
    <w:basedOn w:val="Normal"/>
    <w:next w:val="Normal"/>
    <w:qFormat/>
    <w:rsid w:val="00CE6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1E6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E68A4"/>
    <w:pPr>
      <w:jc w:val="both"/>
    </w:pPr>
    <w:rPr>
      <w:rFonts w:ascii="Arial Unicode MS" w:hAnsi="Arial Unicode MS" w:cs="Arial Unicode MS"/>
      <w:lang w:val="es-ES" w:eastAsia="es-ES"/>
    </w:rPr>
  </w:style>
  <w:style w:type="paragraph" w:styleId="Mapadeldocumento">
    <w:name w:val="Document Map"/>
    <w:basedOn w:val="Normal"/>
    <w:semiHidden/>
    <w:rsid w:val="00AA6F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587341"/>
    <w:rPr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87341"/>
    <w:rPr>
      <w:rFonts w:ascii="Arial" w:hAnsi="Arial" w:cs="Arial"/>
      <w:sz w:val="32"/>
      <w:szCs w:val="24"/>
      <w:lang w:val="es-ES" w:eastAsia="es-ES"/>
    </w:rPr>
  </w:style>
  <w:style w:type="paragraph" w:styleId="NormalWeb">
    <w:name w:val="Normal (Web)"/>
    <w:basedOn w:val="Normal"/>
    <w:uiPriority w:val="99"/>
    <w:rsid w:val="008605EB"/>
    <w:pPr>
      <w:spacing w:before="120" w:after="100" w:afterAutospacing="1" w:line="225" w:lineRule="atLeast"/>
    </w:pPr>
    <w:rPr>
      <w:color w:val="666666"/>
      <w:lang w:val="es-ES" w:eastAsia="es-ES"/>
    </w:rPr>
  </w:style>
  <w:style w:type="paragraph" w:styleId="z-Principiodelformulario">
    <w:name w:val="HTML Top of Form"/>
    <w:basedOn w:val="Normal"/>
    <w:next w:val="Normal"/>
    <w:hidden/>
    <w:rsid w:val="008605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hidden/>
    <w:rsid w:val="008605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character" w:styleId="Textoennegrita">
    <w:name w:val="Strong"/>
    <w:basedOn w:val="Fuentedeprrafopredeter"/>
    <w:qFormat/>
    <w:rsid w:val="008605EB"/>
    <w:rPr>
      <w:b/>
      <w:bCs/>
    </w:rPr>
  </w:style>
  <w:style w:type="paragraph" w:styleId="Prrafodelista">
    <w:name w:val="List Paragraph"/>
    <w:basedOn w:val="Normal"/>
    <w:uiPriority w:val="34"/>
    <w:qFormat/>
    <w:rsid w:val="00085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C76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E68A4"/>
    <w:pPr>
      <w:keepNext/>
      <w:outlineLvl w:val="0"/>
    </w:pPr>
    <w:rPr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E68A4"/>
    <w:pPr>
      <w:keepNext/>
      <w:outlineLvl w:val="1"/>
    </w:pPr>
    <w:rPr>
      <w:rFonts w:ascii="Arial" w:hAnsi="Arial" w:cs="Arial"/>
      <w:sz w:val="32"/>
      <w:lang w:val="es-ES" w:eastAsia="es-ES"/>
    </w:rPr>
  </w:style>
  <w:style w:type="paragraph" w:styleId="Ttulo4">
    <w:name w:val="heading 4"/>
    <w:basedOn w:val="Normal"/>
    <w:next w:val="Normal"/>
    <w:qFormat/>
    <w:rsid w:val="00CE68A4"/>
    <w:pPr>
      <w:keepNext/>
      <w:outlineLvl w:val="3"/>
    </w:pPr>
    <w:rPr>
      <w:rFonts w:ascii="Arial" w:hAnsi="Arial" w:cs="Arial"/>
      <w:sz w:val="28"/>
      <w:lang w:val="es-ES" w:eastAsia="es-ES"/>
    </w:rPr>
  </w:style>
  <w:style w:type="paragraph" w:styleId="Ttulo5">
    <w:name w:val="heading 5"/>
    <w:basedOn w:val="Normal"/>
    <w:next w:val="Normal"/>
    <w:qFormat/>
    <w:rsid w:val="00CE6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1E6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E68A4"/>
    <w:pPr>
      <w:jc w:val="both"/>
    </w:pPr>
    <w:rPr>
      <w:rFonts w:ascii="Arial Unicode MS" w:hAnsi="Arial Unicode MS" w:cs="Arial Unicode MS"/>
      <w:lang w:val="es-ES" w:eastAsia="es-ES"/>
    </w:rPr>
  </w:style>
  <w:style w:type="paragraph" w:styleId="Mapadeldocumento">
    <w:name w:val="Document Map"/>
    <w:basedOn w:val="Normal"/>
    <w:semiHidden/>
    <w:rsid w:val="00AA6F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587341"/>
    <w:rPr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87341"/>
    <w:rPr>
      <w:rFonts w:ascii="Arial" w:hAnsi="Arial" w:cs="Arial"/>
      <w:sz w:val="32"/>
      <w:szCs w:val="24"/>
      <w:lang w:val="es-ES" w:eastAsia="es-ES"/>
    </w:rPr>
  </w:style>
  <w:style w:type="paragraph" w:styleId="NormalWeb">
    <w:name w:val="Normal (Web)"/>
    <w:basedOn w:val="Normal"/>
    <w:uiPriority w:val="99"/>
    <w:rsid w:val="008605EB"/>
    <w:pPr>
      <w:spacing w:before="120" w:after="100" w:afterAutospacing="1" w:line="225" w:lineRule="atLeast"/>
    </w:pPr>
    <w:rPr>
      <w:color w:val="666666"/>
      <w:lang w:val="es-ES" w:eastAsia="es-ES"/>
    </w:rPr>
  </w:style>
  <w:style w:type="paragraph" w:styleId="z-Principiodelformulario">
    <w:name w:val="HTML Top of Form"/>
    <w:basedOn w:val="Normal"/>
    <w:next w:val="Normal"/>
    <w:hidden/>
    <w:rsid w:val="008605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hidden/>
    <w:rsid w:val="008605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 w:eastAsia="es-ES"/>
    </w:rPr>
  </w:style>
  <w:style w:type="character" w:styleId="Textoennegrita">
    <w:name w:val="Strong"/>
    <w:basedOn w:val="Fuentedeprrafopredeter"/>
    <w:qFormat/>
    <w:rsid w:val="008605EB"/>
    <w:rPr>
      <w:b/>
      <w:bCs/>
    </w:rPr>
  </w:style>
  <w:style w:type="paragraph" w:styleId="Prrafodelista">
    <w:name w:val="List Paragraph"/>
    <w:basedOn w:val="Normal"/>
    <w:uiPriority w:val="34"/>
    <w:qFormat/>
    <w:rsid w:val="0008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2091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412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0556">
              <w:marLeft w:val="52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12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73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1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2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78750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4951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1D1D1"/>
                                    <w:right w:val="none" w:sz="0" w:space="0" w:color="auto"/>
                                  </w:divBdr>
                                  <w:divsChild>
                                    <w:div w:id="17532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5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91137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0417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9772">
              <w:marLeft w:val="52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22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4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9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56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F6918-C69A-4ECE-9DBA-E7F674E0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1500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Nacional de Aduanas</vt:lpstr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Aduanas</dc:title>
  <dc:creator>Usuario de Office 2004 Test Drive</dc:creator>
  <cp:lastModifiedBy>Gabriela Landeros Herrera</cp:lastModifiedBy>
  <cp:revision>4</cp:revision>
  <cp:lastPrinted>2014-09-08T20:33:00Z</cp:lastPrinted>
  <dcterms:created xsi:type="dcterms:W3CDTF">2014-11-21T17:12:00Z</dcterms:created>
  <dcterms:modified xsi:type="dcterms:W3CDTF">2014-11-21T17:14:00Z</dcterms:modified>
</cp:coreProperties>
</file>