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0C" w:rsidRPr="00EE6D0C" w:rsidRDefault="00B8520C" w:rsidP="00B8520C">
      <w:pPr>
        <w:rPr>
          <w:b/>
          <w:lang w:val="es-ES"/>
        </w:rPr>
      </w:pPr>
      <w:r w:rsidRPr="00EE6D0C">
        <w:rPr>
          <w:b/>
          <w:lang w:val="es-ES"/>
        </w:rPr>
        <w:t>RESOLUCIÓN EXENTA N°:</w:t>
      </w:r>
    </w:p>
    <w:p w:rsidR="00B8520C" w:rsidRDefault="00B8520C" w:rsidP="00B8520C">
      <w:pPr>
        <w:rPr>
          <w:lang w:val="es-ES"/>
        </w:rPr>
      </w:pPr>
      <w:r>
        <w:rPr>
          <w:lang w:val="es-ES"/>
        </w:rPr>
        <w:t>Valparaíso,</w:t>
      </w:r>
    </w:p>
    <w:p w:rsidR="00155DC4" w:rsidRDefault="00B8520C" w:rsidP="00B444AE">
      <w:pPr>
        <w:rPr>
          <w:b/>
          <w:bCs/>
          <w:lang w:val="es-ES"/>
        </w:rPr>
      </w:pPr>
      <w:r w:rsidRPr="00B8520C">
        <w:rPr>
          <w:lang w:val="es-ES"/>
        </w:rPr>
        <w:br/>
      </w:r>
      <w:r w:rsidRPr="00B8520C">
        <w:rPr>
          <w:b/>
          <w:bCs/>
          <w:lang w:val="es-ES"/>
        </w:rPr>
        <w:t>VISTOS:</w:t>
      </w:r>
    </w:p>
    <w:p w:rsidR="005E5B8E" w:rsidRDefault="00155DC4" w:rsidP="0048219A">
      <w:pPr>
        <w:jc w:val="both"/>
        <w:rPr>
          <w:lang w:val="es-ES"/>
        </w:rPr>
      </w:pPr>
      <w:r>
        <w:rPr>
          <w:lang w:val="es-ES"/>
        </w:rPr>
        <w:br/>
        <w:t>E</w:t>
      </w:r>
      <w:r w:rsidR="00B8520C" w:rsidRPr="00B8520C">
        <w:rPr>
          <w:lang w:val="es-ES"/>
        </w:rPr>
        <w:t xml:space="preserve">l artículo 12, letra E, Nº 16 del DL Nº 825, de 1974, </w:t>
      </w:r>
      <w:r>
        <w:rPr>
          <w:lang w:val="es-ES"/>
        </w:rPr>
        <w:t xml:space="preserve">que </w:t>
      </w:r>
      <w:r w:rsidR="00B8520C" w:rsidRPr="00B8520C">
        <w:rPr>
          <w:lang w:val="es-ES"/>
        </w:rPr>
        <w:t>le otorga al Servicio Nacional de Aduanas la facultad de calificar los servicios como exportación, para efectos de la exención del Impuesto al Valor Agregado a los ingresos percibidos por dicha prestación.</w:t>
      </w:r>
    </w:p>
    <w:p w:rsidR="005E5B8E" w:rsidRDefault="0048219A" w:rsidP="005E5B8E">
      <w:pPr>
        <w:jc w:val="both"/>
        <w:rPr>
          <w:lang w:val="es-ES_tradnl"/>
        </w:rPr>
      </w:pPr>
      <w:r>
        <w:rPr>
          <w:lang w:val="es-ES"/>
        </w:rPr>
        <w:t>Las modificaci</w:t>
      </w:r>
      <w:r w:rsidR="005E5B8E">
        <w:rPr>
          <w:lang w:val="es-ES"/>
        </w:rPr>
        <w:t>ón introducida</w:t>
      </w:r>
      <w:r>
        <w:rPr>
          <w:lang w:val="es-ES"/>
        </w:rPr>
        <w:t xml:space="preserve"> por el artículo </w:t>
      </w:r>
      <w:r w:rsidRPr="0048219A">
        <w:rPr>
          <w:highlight w:val="yellow"/>
          <w:lang w:val="es-ES"/>
        </w:rPr>
        <w:t xml:space="preserve">3° N° 1 de la ley </w:t>
      </w:r>
      <w:r w:rsidRPr="006A4F79">
        <w:rPr>
          <w:highlight w:val="green"/>
          <w:lang w:val="es-ES"/>
        </w:rPr>
        <w:t>N°</w:t>
      </w:r>
      <w:r w:rsidR="006A4F79" w:rsidRPr="006A4F79">
        <w:rPr>
          <w:highlight w:val="green"/>
          <w:lang w:val="es-ES"/>
        </w:rPr>
        <w:t>…</w:t>
      </w:r>
      <w:r>
        <w:rPr>
          <w:lang w:val="es-ES"/>
        </w:rPr>
        <w:t xml:space="preserve"> al artículo 12, letra E, N° 16 referido</w:t>
      </w:r>
      <w:r w:rsidR="005E5B8E">
        <w:rPr>
          <w:lang w:val="es-ES"/>
        </w:rPr>
        <w:t>,</w:t>
      </w:r>
      <w:r w:rsidRPr="0048219A">
        <w:rPr>
          <w:lang w:val="es-ES"/>
        </w:rPr>
        <w:t xml:space="preserve"> </w:t>
      </w:r>
      <w:r>
        <w:rPr>
          <w:lang w:val="es-ES"/>
        </w:rPr>
        <w:t xml:space="preserve">que </w:t>
      </w:r>
      <w:r>
        <w:t xml:space="preserve">amplía </w:t>
      </w:r>
      <w:r w:rsidRPr="0048219A">
        <w:t xml:space="preserve">el concepto de exportación de servicios, incluyendo </w:t>
      </w:r>
      <w:r w:rsidR="005E5B8E" w:rsidRPr="005E5B8E">
        <w:rPr>
          <w:lang w:val="es-ES_tradnl"/>
        </w:rPr>
        <w:t>servicios que sean prestados total o parcialmente en Chile para ser utilizados en el extranjero</w:t>
      </w:r>
      <w:r w:rsidR="005E5B8E">
        <w:rPr>
          <w:lang w:val="es-ES_tradnl"/>
        </w:rPr>
        <w:t>.</w:t>
      </w:r>
    </w:p>
    <w:p w:rsidR="005E5B8E" w:rsidRPr="005E5B8E" w:rsidRDefault="005E5B8E" w:rsidP="005E5B8E">
      <w:pPr>
        <w:jc w:val="both"/>
        <w:rPr>
          <w:lang w:val="es-ES_tradnl"/>
        </w:rPr>
      </w:pPr>
      <w:r>
        <w:rPr>
          <w:lang w:val="es-ES_tradnl"/>
        </w:rPr>
        <w:t xml:space="preserve">La modificación introducida por el artículo 3° N° 3 de la referida ley </w:t>
      </w:r>
      <w:r w:rsidRPr="005E5B8E">
        <w:rPr>
          <w:highlight w:val="green"/>
          <w:lang w:val="es-ES_tradnl"/>
        </w:rPr>
        <w:t>N</w:t>
      </w:r>
      <w:proofErr w:type="gramStart"/>
      <w:r w:rsidRPr="005E5B8E">
        <w:rPr>
          <w:highlight w:val="green"/>
          <w:lang w:val="es-ES_tradnl"/>
        </w:rPr>
        <w:t>° …</w:t>
      </w:r>
      <w:proofErr w:type="gramEnd"/>
      <w:r w:rsidRPr="005E5B8E">
        <w:rPr>
          <w:highlight w:val="green"/>
          <w:lang w:val="es-ES_tradnl"/>
        </w:rPr>
        <w:t>,</w:t>
      </w:r>
      <w:r>
        <w:rPr>
          <w:lang w:val="es-ES_tradnl"/>
        </w:rPr>
        <w:t xml:space="preserve"> que interca</w:t>
      </w:r>
      <w:r w:rsidRPr="005E5B8E">
        <w:rPr>
          <w:lang w:val="es-ES_tradnl"/>
        </w:rPr>
        <w:t>la en el inciso cuarto del artículo 36</w:t>
      </w:r>
      <w:r>
        <w:rPr>
          <w:lang w:val="es-ES_tradnl"/>
        </w:rPr>
        <w:t xml:space="preserve"> del D.L. N° 825</w:t>
      </w:r>
      <w:r w:rsidRPr="005E5B8E">
        <w:rPr>
          <w:lang w:val="es-ES_tradnl"/>
        </w:rPr>
        <w:t xml:space="preserve">, </w:t>
      </w:r>
      <w:r>
        <w:rPr>
          <w:lang w:val="es-ES_tradnl"/>
        </w:rPr>
        <w:t>permitiendo “a</w:t>
      </w:r>
      <w:r w:rsidRPr="005E5B8E">
        <w:rPr>
          <w:lang w:val="es-ES_tradnl"/>
        </w:rPr>
        <w:t>cceder a los beneficios de este artículo los prestadores de servicios siempre que éstos sean prestados y utilizados íntegramente en el extranjero, y hubiesen estado afectos al Impuesto al Valor Agregado de haberse prestado o utilizado en Chile. Lo anterior, solo en la medida que en el país en que se hayan prestado o utilizado los servicios se aplique un impuesto interno de idéntica o similar naturaleza al establecido en esta ley, circunstancia que se acreditará en la forma y condiciones que determine el Servicio de Impuestos Internos.”.</w:t>
      </w:r>
    </w:p>
    <w:p w:rsidR="005E5B8E" w:rsidRDefault="005E5B8E" w:rsidP="005E5B8E">
      <w:pPr>
        <w:jc w:val="both"/>
        <w:rPr>
          <w:lang w:val="es-ES"/>
        </w:rPr>
      </w:pPr>
      <w:r w:rsidRPr="00F91E06">
        <w:rPr>
          <w:lang w:val="es-ES"/>
        </w:rPr>
        <w:t>La Resolución Exenta N° 2.511, de 16.05.2007, de esta Dirección Nacional de Aduanas</w:t>
      </w:r>
      <w:r w:rsidR="00712D1A">
        <w:rPr>
          <w:lang w:val="es-ES"/>
        </w:rPr>
        <w:t xml:space="preserve"> y sus modificaciones</w:t>
      </w:r>
      <w:r w:rsidRPr="00F91E06">
        <w:rPr>
          <w:lang w:val="es-ES"/>
        </w:rPr>
        <w:t>, que establece las normas para la calificación como exportación de aquellos servicios, acorde a los términos establecidos en el artículo 12, letra E, N° 16 y 36 del DL N° 825, de 1974, a efectos que el prestador de los mismos obtenga el beneficio tributario de facturarlos sin IVA y, en caso que correspondiere, tenga derecho a recuperar el Impuesto al Valor Agregado que se hubiere pagado en la adquisición de bienes o contratación de servicios necesarios para realizar la exportación, siempre y cuando se cumpla con lo que establece al efecto el Servicio de Impuestos Internos en dicho contexto.</w:t>
      </w:r>
    </w:p>
    <w:p w:rsidR="006E4449" w:rsidRDefault="006E4449" w:rsidP="006E4449">
      <w:pPr>
        <w:jc w:val="both"/>
        <w:rPr>
          <w:b/>
          <w:lang w:val="es-ES"/>
        </w:rPr>
      </w:pPr>
      <w:r w:rsidRPr="006E4449">
        <w:rPr>
          <w:b/>
          <w:lang w:val="es-ES"/>
        </w:rPr>
        <w:t>CONSIDERANDO:</w:t>
      </w:r>
    </w:p>
    <w:p w:rsidR="006E4449" w:rsidRPr="006E4449" w:rsidRDefault="006E4449" w:rsidP="005E5B8E">
      <w:pPr>
        <w:jc w:val="both"/>
        <w:rPr>
          <w:lang w:val="es-ES"/>
        </w:rPr>
      </w:pPr>
      <w:r w:rsidRPr="006E4449">
        <w:rPr>
          <w:lang w:val="es-ES"/>
        </w:rPr>
        <w:t>Que</w:t>
      </w:r>
      <w:r w:rsidR="0023719D">
        <w:rPr>
          <w:lang w:val="es-ES"/>
        </w:rPr>
        <w:t xml:space="preserve"> en el contexto de la </w:t>
      </w:r>
      <w:r w:rsidR="0023719D" w:rsidRPr="0023719D">
        <w:rPr>
          <w:highlight w:val="green"/>
          <w:lang w:val="es-ES"/>
        </w:rPr>
        <w:t>ley N°…</w:t>
      </w:r>
      <w:r w:rsidR="0023719D">
        <w:rPr>
          <w:lang w:val="es-ES"/>
        </w:rPr>
        <w:t xml:space="preserve"> se e</w:t>
      </w:r>
      <w:proofErr w:type="spellStart"/>
      <w:r w:rsidR="0023719D" w:rsidRPr="0023719D">
        <w:t>stablece</w:t>
      </w:r>
      <w:proofErr w:type="spellEnd"/>
      <w:r w:rsidR="0023719D" w:rsidRPr="0023719D">
        <w:t xml:space="preserve"> un conjunto de medidas para impulsar la productividad</w:t>
      </w:r>
      <w:r w:rsidR="0023719D">
        <w:t>, entre las cuales se encuentran</w:t>
      </w:r>
      <w:r w:rsidRPr="006E4449">
        <w:rPr>
          <w:lang w:val="es-ES"/>
        </w:rPr>
        <w:t xml:space="preserve"> </w:t>
      </w:r>
      <w:r>
        <w:rPr>
          <w:lang w:val="es-ES"/>
        </w:rPr>
        <w:t>las modificaciones legales reseñadas</w:t>
      </w:r>
      <w:r w:rsidR="0023719D">
        <w:rPr>
          <w:lang w:val="es-ES"/>
        </w:rPr>
        <w:t xml:space="preserve"> para establecer mecanismos para fomentar la exportación de servicios</w:t>
      </w:r>
      <w:r w:rsidR="00DF665C">
        <w:rPr>
          <w:lang w:val="es-ES"/>
        </w:rPr>
        <w:t xml:space="preserve">, mediante la </w:t>
      </w:r>
      <w:r>
        <w:rPr>
          <w:lang w:val="es-ES"/>
        </w:rPr>
        <w:t>ampliación del conce</w:t>
      </w:r>
      <w:r w:rsidR="00DF665C">
        <w:rPr>
          <w:lang w:val="es-ES"/>
        </w:rPr>
        <w:t>pto</w:t>
      </w:r>
      <w:r>
        <w:rPr>
          <w:lang w:val="es-ES"/>
        </w:rPr>
        <w:t>,</w:t>
      </w:r>
      <w:r w:rsidR="00DF665C">
        <w:rPr>
          <w:lang w:val="es-ES"/>
        </w:rPr>
        <w:t xml:space="preserve"> que ahora incluye el traslado de personas a otros países para la prestación de los mismos, lo cual</w:t>
      </w:r>
      <w:r>
        <w:rPr>
          <w:lang w:val="es-ES"/>
        </w:rPr>
        <w:t xml:space="preserve"> que hace necesario modificar - en lo pertinente - la Resolución </w:t>
      </w:r>
      <w:r w:rsidRPr="006E4449">
        <w:rPr>
          <w:lang w:val="es-ES"/>
        </w:rPr>
        <w:t>N° 2.511, de 16.05.2007</w:t>
      </w:r>
      <w:r w:rsidR="00450FAB">
        <w:rPr>
          <w:lang w:val="es-ES"/>
        </w:rPr>
        <w:t>, y</w:t>
      </w:r>
    </w:p>
    <w:p w:rsidR="0023719D" w:rsidRDefault="00B8520C" w:rsidP="00963BF8">
      <w:pPr>
        <w:rPr>
          <w:lang w:val="es-ES"/>
        </w:rPr>
      </w:pPr>
      <w:r w:rsidRPr="00B8520C">
        <w:rPr>
          <w:b/>
          <w:bCs/>
          <w:lang w:val="es-ES"/>
        </w:rPr>
        <w:t>TENIENDO PRESENTE:</w:t>
      </w:r>
      <w:r w:rsidRPr="00B8520C">
        <w:rPr>
          <w:lang w:val="es-ES"/>
        </w:rPr>
        <w:br/>
      </w:r>
    </w:p>
    <w:p w:rsidR="00963BF8" w:rsidRPr="00963BF8" w:rsidRDefault="0023719D" w:rsidP="00EE6D0C">
      <w:pPr>
        <w:jc w:val="both"/>
        <w:rPr>
          <w:lang w:val="es-ES"/>
        </w:rPr>
      </w:pPr>
      <w:r w:rsidRPr="0023719D">
        <w:rPr>
          <w:lang w:val="es-ES"/>
        </w:rPr>
        <w:lastRenderedPageBreak/>
        <w:t>Las normas citadas, así como lo dispuesto en la Resolución N° 1.600/2008 de la Contraloría General de la República, sobre exención del trámite de toma de razón; y l</w:t>
      </w:r>
      <w:bookmarkStart w:id="0" w:name="_GoBack"/>
      <w:bookmarkEnd w:id="0"/>
      <w:r w:rsidRPr="0023719D">
        <w:rPr>
          <w:lang w:val="es-ES"/>
        </w:rPr>
        <w:t>as facultades que me confiere</w:t>
      </w:r>
      <w:r>
        <w:rPr>
          <w:lang w:val="es-ES"/>
        </w:rPr>
        <w:t>n</w:t>
      </w:r>
      <w:r w:rsidRPr="0023719D">
        <w:rPr>
          <w:lang w:val="es-ES"/>
        </w:rPr>
        <w:t xml:space="preserve"> los números 7 y 8 del artículo 4º </w:t>
      </w:r>
      <w:r>
        <w:rPr>
          <w:lang w:val="es-ES"/>
        </w:rPr>
        <w:t>del Decreto con Fuerza de L</w:t>
      </w:r>
      <w:r w:rsidRPr="0023719D">
        <w:rPr>
          <w:lang w:val="es-ES"/>
        </w:rPr>
        <w:t>ey N° 329/1979, del Ministerio de Hacienda, Ley Orgánica del Servicio Nacional de Aduanas; dicto la siguiente:</w:t>
      </w:r>
    </w:p>
    <w:p w:rsidR="00EE6D0C" w:rsidRDefault="00EE6D0C" w:rsidP="00963BF8">
      <w:pPr>
        <w:rPr>
          <w:b/>
          <w:bCs/>
          <w:lang w:val="es-ES"/>
        </w:rPr>
      </w:pPr>
    </w:p>
    <w:p w:rsidR="00DF665C" w:rsidRDefault="00EE6D0C" w:rsidP="00963BF8">
      <w:pPr>
        <w:rPr>
          <w:b/>
          <w:bCs/>
          <w:lang w:val="es-ES"/>
        </w:rPr>
      </w:pPr>
      <w:r>
        <w:rPr>
          <w:b/>
          <w:bCs/>
          <w:lang w:val="es-ES"/>
        </w:rPr>
        <w:t>R E S O L U C I Ó</w:t>
      </w:r>
      <w:r w:rsidR="00963BF8" w:rsidRPr="00963BF8">
        <w:rPr>
          <w:b/>
          <w:bCs/>
          <w:lang w:val="es-ES"/>
        </w:rPr>
        <w:t xml:space="preserve"> N: </w:t>
      </w:r>
    </w:p>
    <w:p w:rsidR="00DF665C" w:rsidRDefault="00DF0900" w:rsidP="00963BF8">
      <w:pPr>
        <w:rPr>
          <w:bCs/>
          <w:lang w:val="es-ES"/>
        </w:rPr>
      </w:pPr>
      <w:r w:rsidRPr="00DF0900">
        <w:rPr>
          <w:b/>
          <w:bCs/>
          <w:lang w:val="es-ES"/>
        </w:rPr>
        <w:br/>
      </w:r>
      <w:r w:rsidR="0023719D">
        <w:rPr>
          <w:b/>
          <w:bCs/>
          <w:lang w:val="es-ES"/>
        </w:rPr>
        <w:t>I.</w:t>
      </w:r>
      <w:r w:rsidRPr="00DF0900">
        <w:rPr>
          <w:b/>
          <w:bCs/>
          <w:lang w:val="es-ES"/>
        </w:rPr>
        <w:t xml:space="preserve"> </w:t>
      </w:r>
      <w:r w:rsidR="00DF665C">
        <w:rPr>
          <w:b/>
          <w:bCs/>
          <w:lang w:val="es-ES"/>
        </w:rPr>
        <w:t xml:space="preserve">MODIFÍCASE </w:t>
      </w:r>
      <w:r w:rsidR="00DF665C">
        <w:rPr>
          <w:bCs/>
          <w:lang w:val="es-ES"/>
        </w:rPr>
        <w:t>la Resolución N° 2511 de 2007, en los siguientes términos:</w:t>
      </w:r>
    </w:p>
    <w:p w:rsidR="00DF665C" w:rsidRPr="00554F97" w:rsidRDefault="00DF665C" w:rsidP="00554F97">
      <w:pPr>
        <w:pStyle w:val="Prrafodelista"/>
        <w:numPr>
          <w:ilvl w:val="0"/>
          <w:numId w:val="3"/>
        </w:numPr>
        <w:rPr>
          <w:bCs/>
          <w:lang w:val="es-ES"/>
        </w:rPr>
      </w:pPr>
      <w:proofErr w:type="spellStart"/>
      <w:r>
        <w:rPr>
          <w:bCs/>
          <w:lang w:val="es-ES"/>
        </w:rPr>
        <w:t>Reemplázase</w:t>
      </w:r>
      <w:proofErr w:type="spellEnd"/>
      <w:r>
        <w:rPr>
          <w:bCs/>
          <w:lang w:val="es-ES"/>
        </w:rPr>
        <w:t xml:space="preserve"> el N° 1.1, por el siguiente:</w:t>
      </w:r>
    </w:p>
    <w:p w:rsidR="00554F97" w:rsidRPr="00554F97" w:rsidRDefault="00554F97" w:rsidP="00554F97">
      <w:pPr>
        <w:pStyle w:val="Prrafodelista"/>
        <w:numPr>
          <w:ilvl w:val="1"/>
          <w:numId w:val="3"/>
        </w:numPr>
        <w:rPr>
          <w:bCs/>
          <w:lang w:val="es-ES"/>
        </w:rPr>
      </w:pPr>
      <w:r>
        <w:rPr>
          <w:bCs/>
          <w:lang w:val="es-ES"/>
        </w:rPr>
        <w:t xml:space="preserve"> El servicio deberá ser:</w:t>
      </w:r>
    </w:p>
    <w:p w:rsidR="00554F97" w:rsidRPr="00554F97" w:rsidRDefault="00DF665C" w:rsidP="00554F97">
      <w:pPr>
        <w:pStyle w:val="Prrafodelista"/>
        <w:numPr>
          <w:ilvl w:val="0"/>
          <w:numId w:val="4"/>
        </w:numPr>
        <w:rPr>
          <w:bCs/>
          <w:lang w:val="es-ES"/>
        </w:rPr>
      </w:pPr>
      <w:r>
        <w:rPr>
          <w:bCs/>
          <w:lang w:val="es-ES"/>
        </w:rPr>
        <w:t xml:space="preserve"> </w:t>
      </w:r>
      <w:r w:rsidR="00554F97">
        <w:rPr>
          <w:bCs/>
          <w:lang w:val="es-ES"/>
        </w:rPr>
        <w:t>Realizado</w:t>
      </w:r>
      <w:r w:rsidR="00554F97" w:rsidRPr="00554F97">
        <w:rPr>
          <w:bCs/>
          <w:lang w:val="es-ES_tradnl"/>
        </w:rPr>
        <w:t xml:space="preserve"> to</w:t>
      </w:r>
      <w:r w:rsidR="00554F97">
        <w:rPr>
          <w:bCs/>
          <w:lang w:val="es-ES_tradnl"/>
        </w:rPr>
        <w:t>tal o parcialmente en Chile a personas sin domicilio ni residencia en el país.</w:t>
      </w:r>
    </w:p>
    <w:p w:rsidR="00DF665C" w:rsidRDefault="00554F97" w:rsidP="00554F97">
      <w:pPr>
        <w:pStyle w:val="Prrafodelista"/>
        <w:numPr>
          <w:ilvl w:val="0"/>
          <w:numId w:val="4"/>
        </w:numPr>
        <w:rPr>
          <w:bCs/>
          <w:lang w:val="es-ES"/>
        </w:rPr>
      </w:pPr>
      <w:r w:rsidRPr="00554F97">
        <w:rPr>
          <w:bCs/>
          <w:lang w:val="es-ES_tradnl"/>
        </w:rPr>
        <w:t>Utilizado exclusivamente en el extranjero, con excepción de los servicios que se presten a mercancías en tránsito por el país.</w:t>
      </w:r>
      <w:r w:rsidR="00DF665C" w:rsidRPr="00554F97">
        <w:rPr>
          <w:bCs/>
          <w:lang w:val="es-ES"/>
        </w:rPr>
        <w:t xml:space="preserve"> </w:t>
      </w:r>
    </w:p>
    <w:p w:rsidR="00554F97" w:rsidRPr="00554F97" w:rsidRDefault="00554F97" w:rsidP="00554F97">
      <w:pPr>
        <w:pStyle w:val="Prrafodelista"/>
        <w:numPr>
          <w:ilvl w:val="0"/>
          <w:numId w:val="4"/>
        </w:numPr>
        <w:rPr>
          <w:bCs/>
          <w:lang w:val="es-ES"/>
        </w:rPr>
      </w:pPr>
      <w:r>
        <w:rPr>
          <w:bCs/>
          <w:lang w:val="es-ES"/>
        </w:rPr>
        <w:t>Susceptible de verificación en su existencia real.</w:t>
      </w:r>
    </w:p>
    <w:p w:rsidR="00287E55" w:rsidRPr="00287E55" w:rsidRDefault="0023719D" w:rsidP="00287E55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II. </w:t>
      </w:r>
      <w:r w:rsidR="00287E55">
        <w:rPr>
          <w:b/>
          <w:bCs/>
          <w:lang w:val="es-ES"/>
        </w:rPr>
        <w:t xml:space="preserve">MODIFÍQUENSE </w:t>
      </w:r>
      <w:r w:rsidR="00287E55" w:rsidRPr="00287E55">
        <w:rPr>
          <w:bCs/>
          <w:lang w:val="es-ES"/>
        </w:rPr>
        <w:t>en lo que corresponda</w:t>
      </w:r>
      <w:r w:rsidR="00287E55">
        <w:rPr>
          <w:b/>
          <w:bCs/>
          <w:lang w:val="es-ES"/>
        </w:rPr>
        <w:t xml:space="preserve"> </w:t>
      </w:r>
      <w:r w:rsidR="00287E55" w:rsidRPr="00287E55">
        <w:rPr>
          <w:bCs/>
          <w:lang w:val="es-ES"/>
        </w:rPr>
        <w:t>el numeral 13.2 del</w:t>
      </w:r>
      <w:r w:rsidR="00287E55">
        <w:rPr>
          <w:b/>
          <w:bCs/>
          <w:lang w:val="es-ES"/>
        </w:rPr>
        <w:t xml:space="preserve"> </w:t>
      </w:r>
      <w:r w:rsidR="00287E55">
        <w:rPr>
          <w:bCs/>
          <w:lang w:val="es-ES"/>
        </w:rPr>
        <w:t>Capítulo IV del Compendio de Normas Aduaneras,</w:t>
      </w:r>
      <w:r w:rsidR="00287E55" w:rsidRPr="00287E55">
        <w:rPr>
          <w:bCs/>
          <w:lang w:val="es-ES"/>
        </w:rPr>
        <w:t xml:space="preserve"> </w:t>
      </w:r>
      <w:r w:rsidR="00287E55">
        <w:rPr>
          <w:bCs/>
          <w:lang w:val="es-ES"/>
        </w:rPr>
        <w:t>el Ap</w:t>
      </w:r>
      <w:r w:rsidR="00287E55" w:rsidRPr="00287E55">
        <w:rPr>
          <w:bCs/>
          <w:lang w:val="es-ES"/>
        </w:rPr>
        <w:t>éndice III de</w:t>
      </w:r>
      <w:r w:rsidR="00287E55">
        <w:rPr>
          <w:bCs/>
          <w:lang w:val="es-ES"/>
        </w:rPr>
        <w:t>l mismo Capítulo, así como el Anexo 35, para adecuarlos a lo dispuesto en el N° I de la presente resolución.</w:t>
      </w:r>
      <w:r w:rsidR="00287E55">
        <w:rPr>
          <w:b/>
          <w:bCs/>
          <w:lang w:val="es-ES"/>
        </w:rPr>
        <w:t xml:space="preserve"> </w:t>
      </w:r>
    </w:p>
    <w:p w:rsidR="00617E07" w:rsidRDefault="0023719D" w:rsidP="00EE6D0C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III. </w:t>
      </w:r>
      <w:r w:rsidR="00617E07">
        <w:rPr>
          <w:b/>
          <w:bCs/>
          <w:lang w:val="es-ES"/>
        </w:rPr>
        <w:t xml:space="preserve"> </w:t>
      </w:r>
      <w:r w:rsidR="00EE6D0C" w:rsidRPr="00EE6D0C">
        <w:rPr>
          <w:bCs/>
          <w:lang w:val="es-ES"/>
        </w:rPr>
        <w:t>Respecto de l</w:t>
      </w:r>
      <w:r w:rsidR="00617E07" w:rsidRPr="00EE6D0C">
        <w:rPr>
          <w:bCs/>
          <w:lang w:val="es-ES"/>
        </w:rPr>
        <w:t>os</w:t>
      </w:r>
      <w:r w:rsidR="00617E07">
        <w:rPr>
          <w:bCs/>
          <w:lang w:val="es-ES"/>
        </w:rPr>
        <w:t xml:space="preserve"> servicios</w:t>
      </w:r>
      <w:r w:rsidR="002913C9">
        <w:rPr>
          <w:bCs/>
          <w:lang w:val="es-ES"/>
        </w:rPr>
        <w:t xml:space="preserve"> </w:t>
      </w:r>
      <w:r w:rsidR="00EE6D0C">
        <w:rPr>
          <w:bCs/>
          <w:lang w:val="es-ES"/>
        </w:rPr>
        <w:t xml:space="preserve">realizados </w:t>
      </w:r>
      <w:r w:rsidR="002913C9">
        <w:rPr>
          <w:bCs/>
          <w:lang w:val="es-ES"/>
        </w:rPr>
        <w:t>totalmente en el extranjero,</w:t>
      </w:r>
      <w:r w:rsidR="00617E07">
        <w:rPr>
          <w:bCs/>
          <w:lang w:val="es-ES"/>
        </w:rPr>
        <w:t xml:space="preserve"> </w:t>
      </w:r>
      <w:r w:rsidR="00EE6D0C">
        <w:rPr>
          <w:bCs/>
          <w:lang w:val="es-ES"/>
        </w:rPr>
        <w:t>no deberá  tramitarse un documento de destinación aduanera ni serán sometidos a calificación por el Servicio Nacional de Aduanas, debiendo dar cumplimiento exclusivamente a las normas que el Servicio de Impuestos Internos establezca para estas operaciones.</w:t>
      </w:r>
      <w:r w:rsidR="002913C9" w:rsidRPr="002913C9">
        <w:rPr>
          <w:bCs/>
          <w:lang w:val="es-ES"/>
        </w:rPr>
        <w:t xml:space="preserve"> </w:t>
      </w:r>
    </w:p>
    <w:p w:rsidR="00617E07" w:rsidRPr="00963BF8" w:rsidRDefault="00617E07" w:rsidP="00617E07">
      <w:pPr>
        <w:jc w:val="both"/>
        <w:rPr>
          <w:lang w:val="es-ES"/>
        </w:rPr>
      </w:pPr>
      <w:r>
        <w:rPr>
          <w:b/>
          <w:bCs/>
          <w:lang w:val="es-ES"/>
        </w:rPr>
        <w:t xml:space="preserve">V. </w:t>
      </w:r>
      <w:r w:rsidRPr="00963BF8">
        <w:rPr>
          <w:b/>
          <w:bCs/>
          <w:lang w:val="es-ES"/>
        </w:rPr>
        <w:t xml:space="preserve">REMÍTASE </w:t>
      </w:r>
      <w:r w:rsidRPr="00963BF8">
        <w:rPr>
          <w:lang w:val="es-ES"/>
        </w:rPr>
        <w:t xml:space="preserve">copia de la presente resolución al </w:t>
      </w:r>
      <w:proofErr w:type="spellStart"/>
      <w:r w:rsidRPr="00963BF8">
        <w:rPr>
          <w:lang w:val="es-ES"/>
        </w:rPr>
        <w:t>Subdepartamento</w:t>
      </w:r>
      <w:proofErr w:type="spellEnd"/>
      <w:r w:rsidRPr="00963BF8">
        <w:rPr>
          <w:lang w:val="es-ES"/>
        </w:rPr>
        <w:t xml:space="preserve"> de Normas Generales, para los efectos de mantener actualizado</w:t>
      </w:r>
      <w:r>
        <w:rPr>
          <w:lang w:val="es-ES"/>
        </w:rPr>
        <w:t xml:space="preserve"> </w:t>
      </w:r>
      <w:r w:rsidRPr="00963BF8">
        <w:rPr>
          <w:lang w:val="es-ES"/>
        </w:rPr>
        <w:t>e</w:t>
      </w:r>
      <w:r>
        <w:rPr>
          <w:lang w:val="es-ES"/>
        </w:rPr>
        <w:t xml:space="preserve">l Compendio de Normas Aduaneras, </w:t>
      </w:r>
      <w:r w:rsidRPr="00EE6D0C">
        <w:rPr>
          <w:lang w:val="es-ES"/>
        </w:rPr>
        <w:t>así como para que se publique en la página web del Servicio un texto refundido de la Resolución N° 2511 de 2007.</w:t>
      </w:r>
      <w:r w:rsidRPr="00963BF8">
        <w:rPr>
          <w:b/>
          <w:bCs/>
          <w:lang w:val="es-ES"/>
        </w:rPr>
        <w:t xml:space="preserve"> </w:t>
      </w:r>
    </w:p>
    <w:p w:rsidR="00617E07" w:rsidRPr="00963BF8" w:rsidRDefault="00617E07" w:rsidP="00EE6D0C">
      <w:pPr>
        <w:jc w:val="both"/>
        <w:rPr>
          <w:lang w:val="es-ES"/>
        </w:rPr>
      </w:pPr>
      <w:r>
        <w:rPr>
          <w:b/>
          <w:bCs/>
          <w:lang w:val="es-ES"/>
        </w:rPr>
        <w:t>VI.</w:t>
      </w:r>
      <w:r w:rsidRPr="00963BF8">
        <w:rPr>
          <w:b/>
          <w:bCs/>
          <w:lang w:val="es-ES"/>
        </w:rPr>
        <w:t xml:space="preserve"> </w:t>
      </w:r>
      <w:r w:rsidRPr="00963BF8">
        <w:rPr>
          <w:lang w:val="es-ES"/>
        </w:rPr>
        <w:t xml:space="preserve">La presente resolución entrará en vigencia </w:t>
      </w:r>
      <w:r w:rsidRPr="00617E07">
        <w:rPr>
          <w:highlight w:val="green"/>
          <w:lang w:val="es-ES"/>
        </w:rPr>
        <w:t>a contar de la fecha de su publicación en el Diario Oficial.</w:t>
      </w:r>
      <w:r w:rsidRPr="00963BF8">
        <w:rPr>
          <w:b/>
          <w:bCs/>
          <w:lang w:val="es-ES"/>
        </w:rPr>
        <w:t xml:space="preserve"> </w:t>
      </w:r>
    </w:p>
    <w:p w:rsidR="00617E07" w:rsidRDefault="00617E07" w:rsidP="00617E07">
      <w:pPr>
        <w:rPr>
          <w:b/>
          <w:bCs/>
          <w:lang w:val="es-ES"/>
        </w:rPr>
      </w:pPr>
    </w:p>
    <w:p w:rsidR="00617E07" w:rsidRPr="00963BF8" w:rsidRDefault="00EE6D0C" w:rsidP="00EE6D0C">
      <w:pPr>
        <w:jc w:val="both"/>
        <w:rPr>
          <w:lang w:val="es-ES"/>
        </w:rPr>
      </w:pPr>
      <w:r>
        <w:rPr>
          <w:b/>
          <w:bCs/>
          <w:lang w:val="es-ES"/>
        </w:rPr>
        <w:t>ANÓTESE, COMUNÍ</w:t>
      </w:r>
      <w:r w:rsidR="00617E07" w:rsidRPr="00963BF8">
        <w:rPr>
          <w:b/>
          <w:bCs/>
          <w:lang w:val="es-ES"/>
        </w:rPr>
        <w:t>QUESE Y PUBLÍQUESE EN EL DIARIO OFICIAL, Y EN LA PÁGINA WEB DEL SERVICIO.</w:t>
      </w:r>
    </w:p>
    <w:p w:rsidR="0023719D" w:rsidRDefault="0023719D" w:rsidP="00963BF8">
      <w:pPr>
        <w:rPr>
          <w:b/>
          <w:bCs/>
          <w:lang w:val="es-ES"/>
        </w:rPr>
      </w:pPr>
    </w:p>
    <w:p w:rsidR="00761D0D" w:rsidRPr="00B8520C" w:rsidRDefault="00761D0D">
      <w:pPr>
        <w:rPr>
          <w:lang w:val="es-ES"/>
        </w:rPr>
      </w:pPr>
    </w:p>
    <w:sectPr w:rsidR="00761D0D" w:rsidRPr="00B8520C" w:rsidSect="00F1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B2" w:rsidRDefault="00465DB2" w:rsidP="00A21E3A">
      <w:pPr>
        <w:spacing w:after="0" w:line="240" w:lineRule="auto"/>
      </w:pPr>
      <w:r>
        <w:separator/>
      </w:r>
    </w:p>
  </w:endnote>
  <w:endnote w:type="continuationSeparator" w:id="0">
    <w:p w:rsidR="00465DB2" w:rsidRDefault="00465DB2" w:rsidP="00A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B2" w:rsidRDefault="00465DB2" w:rsidP="00A21E3A">
      <w:pPr>
        <w:spacing w:after="0" w:line="240" w:lineRule="auto"/>
      </w:pPr>
      <w:r>
        <w:separator/>
      </w:r>
    </w:p>
  </w:footnote>
  <w:footnote w:type="continuationSeparator" w:id="0">
    <w:p w:rsidR="00465DB2" w:rsidRDefault="00465DB2" w:rsidP="00A2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21681"/>
      <w:docPartObj>
        <w:docPartGallery w:val="Watermarks"/>
        <w:docPartUnique/>
      </w:docPartObj>
    </w:sdtPr>
    <w:sdtContent>
      <w:p w:rsidR="00A21E3A" w:rsidRDefault="00A21E3A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3A" w:rsidRDefault="00A21E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407B"/>
    <w:multiLevelType w:val="hybridMultilevel"/>
    <w:tmpl w:val="9050E882"/>
    <w:lvl w:ilvl="0" w:tplc="B8AC3B2C">
      <w:start w:val="3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55A264B0"/>
    <w:multiLevelType w:val="hybridMultilevel"/>
    <w:tmpl w:val="04E05FBC"/>
    <w:lvl w:ilvl="0" w:tplc="57EC5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C1905"/>
    <w:multiLevelType w:val="hybridMultilevel"/>
    <w:tmpl w:val="85220BEE"/>
    <w:lvl w:ilvl="0" w:tplc="102A6A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38E30EC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98BC000C">
      <w:start w:val="1"/>
      <w:numFmt w:val="decimal"/>
      <w:lvlText w:val="%4)"/>
      <w:lvlJc w:val="left"/>
      <w:pPr>
        <w:ind w:left="2203" w:hanging="360"/>
      </w:pPr>
      <w:rPr>
        <w:b/>
      </w:rPr>
    </w:lvl>
    <w:lvl w:ilvl="4" w:tplc="EE6421F8">
      <w:start w:val="1"/>
      <w:numFmt w:val="lowerRoman"/>
      <w:lvlText w:val="%5."/>
      <w:lvlJc w:val="left"/>
      <w:pPr>
        <w:ind w:left="4320" w:hanging="72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D1A9A"/>
    <w:multiLevelType w:val="multilevel"/>
    <w:tmpl w:val="7DD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C"/>
    <w:rsid w:val="000001CA"/>
    <w:rsid w:val="00010EEB"/>
    <w:rsid w:val="00015CD1"/>
    <w:rsid w:val="00016DF7"/>
    <w:rsid w:val="00017708"/>
    <w:rsid w:val="00020FFD"/>
    <w:rsid w:val="00023C19"/>
    <w:rsid w:val="000266B5"/>
    <w:rsid w:val="0003126B"/>
    <w:rsid w:val="000313F3"/>
    <w:rsid w:val="00031990"/>
    <w:rsid w:val="00032D03"/>
    <w:rsid w:val="00033071"/>
    <w:rsid w:val="00037A5F"/>
    <w:rsid w:val="00041C6E"/>
    <w:rsid w:val="00043E54"/>
    <w:rsid w:val="00044EB8"/>
    <w:rsid w:val="00045C59"/>
    <w:rsid w:val="00051599"/>
    <w:rsid w:val="00056050"/>
    <w:rsid w:val="0005789D"/>
    <w:rsid w:val="00057DCB"/>
    <w:rsid w:val="00057DD5"/>
    <w:rsid w:val="00062958"/>
    <w:rsid w:val="00063BA6"/>
    <w:rsid w:val="00065002"/>
    <w:rsid w:val="00066CC3"/>
    <w:rsid w:val="00070BDE"/>
    <w:rsid w:val="0007567F"/>
    <w:rsid w:val="00094732"/>
    <w:rsid w:val="000952CF"/>
    <w:rsid w:val="00096E3D"/>
    <w:rsid w:val="000A4BA4"/>
    <w:rsid w:val="000B3691"/>
    <w:rsid w:val="000B39D0"/>
    <w:rsid w:val="000C5363"/>
    <w:rsid w:val="000D1A34"/>
    <w:rsid w:val="000D4402"/>
    <w:rsid w:val="000E4869"/>
    <w:rsid w:val="000E7D40"/>
    <w:rsid w:val="000F0D78"/>
    <w:rsid w:val="000F2792"/>
    <w:rsid w:val="000F2A33"/>
    <w:rsid w:val="000F325D"/>
    <w:rsid w:val="000F3E8E"/>
    <w:rsid w:val="000F4BF1"/>
    <w:rsid w:val="000F71FD"/>
    <w:rsid w:val="000F72EE"/>
    <w:rsid w:val="001003E8"/>
    <w:rsid w:val="00104064"/>
    <w:rsid w:val="00104CAA"/>
    <w:rsid w:val="001126D1"/>
    <w:rsid w:val="0011508F"/>
    <w:rsid w:val="001175FA"/>
    <w:rsid w:val="0012051A"/>
    <w:rsid w:val="00120644"/>
    <w:rsid w:val="00120C3E"/>
    <w:rsid w:val="00121326"/>
    <w:rsid w:val="001240D8"/>
    <w:rsid w:val="00125721"/>
    <w:rsid w:val="00127B1A"/>
    <w:rsid w:val="00133D10"/>
    <w:rsid w:val="00133E15"/>
    <w:rsid w:val="00135A59"/>
    <w:rsid w:val="00136A71"/>
    <w:rsid w:val="00136FAA"/>
    <w:rsid w:val="001417E3"/>
    <w:rsid w:val="00141814"/>
    <w:rsid w:val="00145174"/>
    <w:rsid w:val="0015107C"/>
    <w:rsid w:val="001536A8"/>
    <w:rsid w:val="00155DC4"/>
    <w:rsid w:val="00166B61"/>
    <w:rsid w:val="001723DA"/>
    <w:rsid w:val="00172F6A"/>
    <w:rsid w:val="00175AD9"/>
    <w:rsid w:val="00177498"/>
    <w:rsid w:val="00181724"/>
    <w:rsid w:val="0018543A"/>
    <w:rsid w:val="00191119"/>
    <w:rsid w:val="00192D5F"/>
    <w:rsid w:val="00194057"/>
    <w:rsid w:val="00196575"/>
    <w:rsid w:val="001A5B8E"/>
    <w:rsid w:val="001A7C4D"/>
    <w:rsid w:val="001B3761"/>
    <w:rsid w:val="001B5499"/>
    <w:rsid w:val="001C080C"/>
    <w:rsid w:val="001C2268"/>
    <w:rsid w:val="001D4347"/>
    <w:rsid w:val="001D58C2"/>
    <w:rsid w:val="001D5DA4"/>
    <w:rsid w:val="001E0A3E"/>
    <w:rsid w:val="001E122A"/>
    <w:rsid w:val="001E49B0"/>
    <w:rsid w:val="001F1768"/>
    <w:rsid w:val="001F4EE0"/>
    <w:rsid w:val="002000B2"/>
    <w:rsid w:val="00200329"/>
    <w:rsid w:val="0020058E"/>
    <w:rsid w:val="00201899"/>
    <w:rsid w:val="00203935"/>
    <w:rsid w:val="00204797"/>
    <w:rsid w:val="00207DD2"/>
    <w:rsid w:val="00210FFA"/>
    <w:rsid w:val="0021459A"/>
    <w:rsid w:val="00216004"/>
    <w:rsid w:val="00216706"/>
    <w:rsid w:val="00216856"/>
    <w:rsid w:val="00216CFD"/>
    <w:rsid w:val="00216D0E"/>
    <w:rsid w:val="002206A5"/>
    <w:rsid w:val="00222AAD"/>
    <w:rsid w:val="00225A4E"/>
    <w:rsid w:val="00227B4B"/>
    <w:rsid w:val="00227B55"/>
    <w:rsid w:val="00231926"/>
    <w:rsid w:val="002328E3"/>
    <w:rsid w:val="0023634C"/>
    <w:rsid w:val="002368C0"/>
    <w:rsid w:val="0023719D"/>
    <w:rsid w:val="00240BC3"/>
    <w:rsid w:val="002423A9"/>
    <w:rsid w:val="00243440"/>
    <w:rsid w:val="002468EA"/>
    <w:rsid w:val="002508DF"/>
    <w:rsid w:val="00250E01"/>
    <w:rsid w:val="00252225"/>
    <w:rsid w:val="00252491"/>
    <w:rsid w:val="00252D17"/>
    <w:rsid w:val="002532F5"/>
    <w:rsid w:val="0025424A"/>
    <w:rsid w:val="002574E9"/>
    <w:rsid w:val="00260250"/>
    <w:rsid w:val="00261EC8"/>
    <w:rsid w:val="00262DDE"/>
    <w:rsid w:val="00263866"/>
    <w:rsid w:val="00265045"/>
    <w:rsid w:val="0026671E"/>
    <w:rsid w:val="0027549C"/>
    <w:rsid w:val="00275EA2"/>
    <w:rsid w:val="0027628E"/>
    <w:rsid w:val="00276A99"/>
    <w:rsid w:val="0027760D"/>
    <w:rsid w:val="00280AC3"/>
    <w:rsid w:val="002813C4"/>
    <w:rsid w:val="002828F5"/>
    <w:rsid w:val="00283513"/>
    <w:rsid w:val="002844E1"/>
    <w:rsid w:val="00287E55"/>
    <w:rsid w:val="00290305"/>
    <w:rsid w:val="002913C9"/>
    <w:rsid w:val="00291443"/>
    <w:rsid w:val="00291C6D"/>
    <w:rsid w:val="0029315B"/>
    <w:rsid w:val="00293AAE"/>
    <w:rsid w:val="00293E79"/>
    <w:rsid w:val="002946ED"/>
    <w:rsid w:val="0029545E"/>
    <w:rsid w:val="002A098C"/>
    <w:rsid w:val="002A0E6F"/>
    <w:rsid w:val="002A139F"/>
    <w:rsid w:val="002A4D9A"/>
    <w:rsid w:val="002A522D"/>
    <w:rsid w:val="002A656C"/>
    <w:rsid w:val="002B2D6D"/>
    <w:rsid w:val="002B684B"/>
    <w:rsid w:val="002C0A08"/>
    <w:rsid w:val="002C0BCE"/>
    <w:rsid w:val="002C336A"/>
    <w:rsid w:val="002C445F"/>
    <w:rsid w:val="002C60C4"/>
    <w:rsid w:val="002C6969"/>
    <w:rsid w:val="002C7661"/>
    <w:rsid w:val="002D2867"/>
    <w:rsid w:val="002D2D2B"/>
    <w:rsid w:val="002D39B1"/>
    <w:rsid w:val="002D6289"/>
    <w:rsid w:val="002D7AB1"/>
    <w:rsid w:val="002E1992"/>
    <w:rsid w:val="002E7D2F"/>
    <w:rsid w:val="002F1992"/>
    <w:rsid w:val="002F1FA8"/>
    <w:rsid w:val="002F24E2"/>
    <w:rsid w:val="002F31CA"/>
    <w:rsid w:val="002F3F56"/>
    <w:rsid w:val="002F581C"/>
    <w:rsid w:val="00301156"/>
    <w:rsid w:val="003030E4"/>
    <w:rsid w:val="00303622"/>
    <w:rsid w:val="003038EA"/>
    <w:rsid w:val="003041E8"/>
    <w:rsid w:val="00304FDF"/>
    <w:rsid w:val="00305089"/>
    <w:rsid w:val="00311810"/>
    <w:rsid w:val="00312A83"/>
    <w:rsid w:val="0031657E"/>
    <w:rsid w:val="00316F12"/>
    <w:rsid w:val="00320BAB"/>
    <w:rsid w:val="00321CF5"/>
    <w:rsid w:val="00323B4A"/>
    <w:rsid w:val="00324D5B"/>
    <w:rsid w:val="00326F74"/>
    <w:rsid w:val="00326F95"/>
    <w:rsid w:val="00327C24"/>
    <w:rsid w:val="003300F8"/>
    <w:rsid w:val="003315F6"/>
    <w:rsid w:val="00332723"/>
    <w:rsid w:val="0033312A"/>
    <w:rsid w:val="00333A3D"/>
    <w:rsid w:val="003340FA"/>
    <w:rsid w:val="003409CA"/>
    <w:rsid w:val="003416BD"/>
    <w:rsid w:val="00341D5B"/>
    <w:rsid w:val="00341FFA"/>
    <w:rsid w:val="003438F5"/>
    <w:rsid w:val="003469CA"/>
    <w:rsid w:val="00347692"/>
    <w:rsid w:val="00351F3E"/>
    <w:rsid w:val="00357A54"/>
    <w:rsid w:val="00360CF9"/>
    <w:rsid w:val="0036116A"/>
    <w:rsid w:val="00361CF4"/>
    <w:rsid w:val="00363155"/>
    <w:rsid w:val="00366A38"/>
    <w:rsid w:val="0037001E"/>
    <w:rsid w:val="003727A8"/>
    <w:rsid w:val="003738D7"/>
    <w:rsid w:val="003802D1"/>
    <w:rsid w:val="00382832"/>
    <w:rsid w:val="00386437"/>
    <w:rsid w:val="003877B8"/>
    <w:rsid w:val="00390EA6"/>
    <w:rsid w:val="003918DA"/>
    <w:rsid w:val="00393EBF"/>
    <w:rsid w:val="00395380"/>
    <w:rsid w:val="003A0297"/>
    <w:rsid w:val="003A219B"/>
    <w:rsid w:val="003A2408"/>
    <w:rsid w:val="003A44CE"/>
    <w:rsid w:val="003A7F0C"/>
    <w:rsid w:val="003B1352"/>
    <w:rsid w:val="003B14A2"/>
    <w:rsid w:val="003B46E4"/>
    <w:rsid w:val="003B4F62"/>
    <w:rsid w:val="003B5F7C"/>
    <w:rsid w:val="003B7E55"/>
    <w:rsid w:val="003C1884"/>
    <w:rsid w:val="003C2C62"/>
    <w:rsid w:val="003D18B2"/>
    <w:rsid w:val="003D2B50"/>
    <w:rsid w:val="003E11B5"/>
    <w:rsid w:val="003E167B"/>
    <w:rsid w:val="003E36F1"/>
    <w:rsid w:val="003E473A"/>
    <w:rsid w:val="003E6A7B"/>
    <w:rsid w:val="003F08DF"/>
    <w:rsid w:val="003F0D8B"/>
    <w:rsid w:val="003F0D90"/>
    <w:rsid w:val="003F5148"/>
    <w:rsid w:val="00400402"/>
    <w:rsid w:val="00401507"/>
    <w:rsid w:val="00402EC0"/>
    <w:rsid w:val="00405E93"/>
    <w:rsid w:val="004067EC"/>
    <w:rsid w:val="00406BA7"/>
    <w:rsid w:val="00406C7C"/>
    <w:rsid w:val="00412028"/>
    <w:rsid w:val="00415804"/>
    <w:rsid w:val="00416663"/>
    <w:rsid w:val="0041667C"/>
    <w:rsid w:val="00420ADC"/>
    <w:rsid w:val="004238E9"/>
    <w:rsid w:val="004255C5"/>
    <w:rsid w:val="00425AF1"/>
    <w:rsid w:val="0043007F"/>
    <w:rsid w:val="00430B00"/>
    <w:rsid w:val="00434F3A"/>
    <w:rsid w:val="00445421"/>
    <w:rsid w:val="00445D4A"/>
    <w:rsid w:val="00447878"/>
    <w:rsid w:val="00450FAB"/>
    <w:rsid w:val="00456960"/>
    <w:rsid w:val="00460254"/>
    <w:rsid w:val="00462FF2"/>
    <w:rsid w:val="00465DAB"/>
    <w:rsid w:val="00465DB2"/>
    <w:rsid w:val="0047382F"/>
    <w:rsid w:val="00476188"/>
    <w:rsid w:val="0048219A"/>
    <w:rsid w:val="00485732"/>
    <w:rsid w:val="00486720"/>
    <w:rsid w:val="00490E9D"/>
    <w:rsid w:val="00491497"/>
    <w:rsid w:val="004A63F8"/>
    <w:rsid w:val="004B109F"/>
    <w:rsid w:val="004B21FF"/>
    <w:rsid w:val="004B4F07"/>
    <w:rsid w:val="004B71BE"/>
    <w:rsid w:val="004C08A8"/>
    <w:rsid w:val="004C337D"/>
    <w:rsid w:val="004D589F"/>
    <w:rsid w:val="004E3DC3"/>
    <w:rsid w:val="004E554A"/>
    <w:rsid w:val="004E7960"/>
    <w:rsid w:val="004F1749"/>
    <w:rsid w:val="004F3E53"/>
    <w:rsid w:val="004F780C"/>
    <w:rsid w:val="00500610"/>
    <w:rsid w:val="00507B26"/>
    <w:rsid w:val="00510F6B"/>
    <w:rsid w:val="00512AB4"/>
    <w:rsid w:val="0051512A"/>
    <w:rsid w:val="0051538C"/>
    <w:rsid w:val="00516139"/>
    <w:rsid w:val="00520C55"/>
    <w:rsid w:val="005218F4"/>
    <w:rsid w:val="00522264"/>
    <w:rsid w:val="0052429F"/>
    <w:rsid w:val="005273A5"/>
    <w:rsid w:val="00537E0A"/>
    <w:rsid w:val="005441C1"/>
    <w:rsid w:val="00544E8E"/>
    <w:rsid w:val="00545060"/>
    <w:rsid w:val="0054574A"/>
    <w:rsid w:val="00547FB0"/>
    <w:rsid w:val="00551F0E"/>
    <w:rsid w:val="00554F97"/>
    <w:rsid w:val="00555E47"/>
    <w:rsid w:val="0056127C"/>
    <w:rsid w:val="00565A5D"/>
    <w:rsid w:val="00572202"/>
    <w:rsid w:val="005730B8"/>
    <w:rsid w:val="00576D77"/>
    <w:rsid w:val="00577A2D"/>
    <w:rsid w:val="00580743"/>
    <w:rsid w:val="005826C0"/>
    <w:rsid w:val="00584CA4"/>
    <w:rsid w:val="005870ED"/>
    <w:rsid w:val="005927F2"/>
    <w:rsid w:val="0059319D"/>
    <w:rsid w:val="005977B1"/>
    <w:rsid w:val="005A0BEF"/>
    <w:rsid w:val="005A1D1A"/>
    <w:rsid w:val="005A4ABC"/>
    <w:rsid w:val="005A5D64"/>
    <w:rsid w:val="005B2C3B"/>
    <w:rsid w:val="005B3627"/>
    <w:rsid w:val="005C23D2"/>
    <w:rsid w:val="005C2679"/>
    <w:rsid w:val="005C61CC"/>
    <w:rsid w:val="005D1F54"/>
    <w:rsid w:val="005D6729"/>
    <w:rsid w:val="005E0BF3"/>
    <w:rsid w:val="005E2C38"/>
    <w:rsid w:val="005E4D60"/>
    <w:rsid w:val="005E5B8E"/>
    <w:rsid w:val="005F231C"/>
    <w:rsid w:val="005F23C3"/>
    <w:rsid w:val="005F2B5D"/>
    <w:rsid w:val="006047C2"/>
    <w:rsid w:val="0060607B"/>
    <w:rsid w:val="00612097"/>
    <w:rsid w:val="006148BE"/>
    <w:rsid w:val="00617E07"/>
    <w:rsid w:val="00620B6A"/>
    <w:rsid w:val="00621B76"/>
    <w:rsid w:val="00623737"/>
    <w:rsid w:val="00623F81"/>
    <w:rsid w:val="0062452B"/>
    <w:rsid w:val="00625555"/>
    <w:rsid w:val="00631050"/>
    <w:rsid w:val="00631161"/>
    <w:rsid w:val="00634668"/>
    <w:rsid w:val="006360B9"/>
    <w:rsid w:val="00636112"/>
    <w:rsid w:val="0063661F"/>
    <w:rsid w:val="00637397"/>
    <w:rsid w:val="006375AB"/>
    <w:rsid w:val="00637643"/>
    <w:rsid w:val="0064241D"/>
    <w:rsid w:val="00642E44"/>
    <w:rsid w:val="00651E73"/>
    <w:rsid w:val="006521D8"/>
    <w:rsid w:val="00653BE9"/>
    <w:rsid w:val="006617B2"/>
    <w:rsid w:val="00663552"/>
    <w:rsid w:val="00663974"/>
    <w:rsid w:val="00664204"/>
    <w:rsid w:val="00665AF3"/>
    <w:rsid w:val="006735A1"/>
    <w:rsid w:val="00674DA7"/>
    <w:rsid w:val="00683357"/>
    <w:rsid w:val="006835FA"/>
    <w:rsid w:val="006862CA"/>
    <w:rsid w:val="00690B8D"/>
    <w:rsid w:val="00691463"/>
    <w:rsid w:val="006914C6"/>
    <w:rsid w:val="00691F41"/>
    <w:rsid w:val="00692695"/>
    <w:rsid w:val="006928A3"/>
    <w:rsid w:val="0069417E"/>
    <w:rsid w:val="0069716C"/>
    <w:rsid w:val="006A2E5D"/>
    <w:rsid w:val="006A4CD4"/>
    <w:rsid w:val="006A4F79"/>
    <w:rsid w:val="006B0C73"/>
    <w:rsid w:val="006B1122"/>
    <w:rsid w:val="006B36AE"/>
    <w:rsid w:val="006B6139"/>
    <w:rsid w:val="006C1118"/>
    <w:rsid w:val="006C199F"/>
    <w:rsid w:val="006D1FE2"/>
    <w:rsid w:val="006D2989"/>
    <w:rsid w:val="006D3F22"/>
    <w:rsid w:val="006D71D7"/>
    <w:rsid w:val="006E0C2D"/>
    <w:rsid w:val="006E2D57"/>
    <w:rsid w:val="006E358E"/>
    <w:rsid w:val="006E3AC0"/>
    <w:rsid w:val="006E4449"/>
    <w:rsid w:val="006F0879"/>
    <w:rsid w:val="006F1430"/>
    <w:rsid w:val="006F2369"/>
    <w:rsid w:val="006F2C25"/>
    <w:rsid w:val="00701341"/>
    <w:rsid w:val="007018E6"/>
    <w:rsid w:val="00702F95"/>
    <w:rsid w:val="00705E3D"/>
    <w:rsid w:val="00706F80"/>
    <w:rsid w:val="00712D1A"/>
    <w:rsid w:val="007211BE"/>
    <w:rsid w:val="0072180C"/>
    <w:rsid w:val="00725DDD"/>
    <w:rsid w:val="0072723C"/>
    <w:rsid w:val="007314E1"/>
    <w:rsid w:val="007347E0"/>
    <w:rsid w:val="007348A8"/>
    <w:rsid w:val="00740A3C"/>
    <w:rsid w:val="00741C48"/>
    <w:rsid w:val="00742BB1"/>
    <w:rsid w:val="0075068E"/>
    <w:rsid w:val="00752ADA"/>
    <w:rsid w:val="00754A66"/>
    <w:rsid w:val="00756ED3"/>
    <w:rsid w:val="007605BA"/>
    <w:rsid w:val="00761D0D"/>
    <w:rsid w:val="00763810"/>
    <w:rsid w:val="00765898"/>
    <w:rsid w:val="00766C02"/>
    <w:rsid w:val="0076772F"/>
    <w:rsid w:val="00770860"/>
    <w:rsid w:val="00772080"/>
    <w:rsid w:val="0077247E"/>
    <w:rsid w:val="0077558D"/>
    <w:rsid w:val="00782EB1"/>
    <w:rsid w:val="007870BC"/>
    <w:rsid w:val="007904CE"/>
    <w:rsid w:val="00790E89"/>
    <w:rsid w:val="00790FC0"/>
    <w:rsid w:val="007912B6"/>
    <w:rsid w:val="00796D67"/>
    <w:rsid w:val="00797036"/>
    <w:rsid w:val="0079777C"/>
    <w:rsid w:val="007977ED"/>
    <w:rsid w:val="007A4F5B"/>
    <w:rsid w:val="007A6E71"/>
    <w:rsid w:val="007B17CD"/>
    <w:rsid w:val="007B7B07"/>
    <w:rsid w:val="007C1392"/>
    <w:rsid w:val="007C14C9"/>
    <w:rsid w:val="007C40B5"/>
    <w:rsid w:val="007D0308"/>
    <w:rsid w:val="007D0803"/>
    <w:rsid w:val="007D1F53"/>
    <w:rsid w:val="007D2580"/>
    <w:rsid w:val="007D3BB7"/>
    <w:rsid w:val="007D5122"/>
    <w:rsid w:val="007D525F"/>
    <w:rsid w:val="007E01ED"/>
    <w:rsid w:val="007E5B50"/>
    <w:rsid w:val="007E71C3"/>
    <w:rsid w:val="007F068D"/>
    <w:rsid w:val="007F469F"/>
    <w:rsid w:val="007F69F2"/>
    <w:rsid w:val="0080397E"/>
    <w:rsid w:val="00804C3D"/>
    <w:rsid w:val="00810E9E"/>
    <w:rsid w:val="00811690"/>
    <w:rsid w:val="0081285B"/>
    <w:rsid w:val="00813250"/>
    <w:rsid w:val="00814313"/>
    <w:rsid w:val="008217BD"/>
    <w:rsid w:val="0082399D"/>
    <w:rsid w:val="0082412C"/>
    <w:rsid w:val="00824CC2"/>
    <w:rsid w:val="008307AC"/>
    <w:rsid w:val="00830C2B"/>
    <w:rsid w:val="0083110B"/>
    <w:rsid w:val="00832228"/>
    <w:rsid w:val="0083237D"/>
    <w:rsid w:val="00834F4D"/>
    <w:rsid w:val="00835D34"/>
    <w:rsid w:val="0084118B"/>
    <w:rsid w:val="008479CB"/>
    <w:rsid w:val="00847C6F"/>
    <w:rsid w:val="00855A42"/>
    <w:rsid w:val="00855A6D"/>
    <w:rsid w:val="00856063"/>
    <w:rsid w:val="00857270"/>
    <w:rsid w:val="008610FB"/>
    <w:rsid w:val="00861E39"/>
    <w:rsid w:val="00862403"/>
    <w:rsid w:val="00874187"/>
    <w:rsid w:val="008749BB"/>
    <w:rsid w:val="00880717"/>
    <w:rsid w:val="008855A0"/>
    <w:rsid w:val="00885C49"/>
    <w:rsid w:val="008910D8"/>
    <w:rsid w:val="00895717"/>
    <w:rsid w:val="00895961"/>
    <w:rsid w:val="00896806"/>
    <w:rsid w:val="008A1333"/>
    <w:rsid w:val="008A44A8"/>
    <w:rsid w:val="008A45E9"/>
    <w:rsid w:val="008A5005"/>
    <w:rsid w:val="008A610C"/>
    <w:rsid w:val="008B13C0"/>
    <w:rsid w:val="008B35CA"/>
    <w:rsid w:val="008B4313"/>
    <w:rsid w:val="008B45D8"/>
    <w:rsid w:val="008B54E1"/>
    <w:rsid w:val="008B734B"/>
    <w:rsid w:val="008C3565"/>
    <w:rsid w:val="008C782D"/>
    <w:rsid w:val="008D12E0"/>
    <w:rsid w:val="008D1411"/>
    <w:rsid w:val="008D5569"/>
    <w:rsid w:val="008E20E4"/>
    <w:rsid w:val="008F08C9"/>
    <w:rsid w:val="008F1173"/>
    <w:rsid w:val="008F2394"/>
    <w:rsid w:val="008F2FD6"/>
    <w:rsid w:val="00901022"/>
    <w:rsid w:val="009020D8"/>
    <w:rsid w:val="0090336E"/>
    <w:rsid w:val="00903A62"/>
    <w:rsid w:val="0091017B"/>
    <w:rsid w:val="00914DCE"/>
    <w:rsid w:val="00915427"/>
    <w:rsid w:val="0091546C"/>
    <w:rsid w:val="00915E82"/>
    <w:rsid w:val="00920AB7"/>
    <w:rsid w:val="0092640D"/>
    <w:rsid w:val="0094070A"/>
    <w:rsid w:val="00941A5C"/>
    <w:rsid w:val="00943AC9"/>
    <w:rsid w:val="00944B71"/>
    <w:rsid w:val="009470F7"/>
    <w:rsid w:val="00950707"/>
    <w:rsid w:val="009533A3"/>
    <w:rsid w:val="0095634E"/>
    <w:rsid w:val="00957BD2"/>
    <w:rsid w:val="00960AE6"/>
    <w:rsid w:val="009617CA"/>
    <w:rsid w:val="00961B30"/>
    <w:rsid w:val="00962B95"/>
    <w:rsid w:val="00963BF8"/>
    <w:rsid w:val="00967F03"/>
    <w:rsid w:val="00972093"/>
    <w:rsid w:val="00973992"/>
    <w:rsid w:val="009739FF"/>
    <w:rsid w:val="009756AE"/>
    <w:rsid w:val="00980544"/>
    <w:rsid w:val="0098131B"/>
    <w:rsid w:val="0098183F"/>
    <w:rsid w:val="009821E2"/>
    <w:rsid w:val="009835F1"/>
    <w:rsid w:val="00983E66"/>
    <w:rsid w:val="0099027E"/>
    <w:rsid w:val="0099352D"/>
    <w:rsid w:val="009966FD"/>
    <w:rsid w:val="009A11C7"/>
    <w:rsid w:val="009A2645"/>
    <w:rsid w:val="009A3AA8"/>
    <w:rsid w:val="009A3CDD"/>
    <w:rsid w:val="009A7235"/>
    <w:rsid w:val="009A779C"/>
    <w:rsid w:val="009B29D2"/>
    <w:rsid w:val="009B4E91"/>
    <w:rsid w:val="009B7148"/>
    <w:rsid w:val="009B7527"/>
    <w:rsid w:val="009C00DA"/>
    <w:rsid w:val="009C09CD"/>
    <w:rsid w:val="009C16E1"/>
    <w:rsid w:val="009D597F"/>
    <w:rsid w:val="009E2352"/>
    <w:rsid w:val="009E683C"/>
    <w:rsid w:val="009E6E55"/>
    <w:rsid w:val="009F1B8D"/>
    <w:rsid w:val="009F58E2"/>
    <w:rsid w:val="00A032E9"/>
    <w:rsid w:val="00A039A8"/>
    <w:rsid w:val="00A05E42"/>
    <w:rsid w:val="00A103F0"/>
    <w:rsid w:val="00A15A7F"/>
    <w:rsid w:val="00A16179"/>
    <w:rsid w:val="00A21E3A"/>
    <w:rsid w:val="00A224EC"/>
    <w:rsid w:val="00A27EFD"/>
    <w:rsid w:val="00A30C5C"/>
    <w:rsid w:val="00A3119D"/>
    <w:rsid w:val="00A32ECF"/>
    <w:rsid w:val="00A34D7F"/>
    <w:rsid w:val="00A35D27"/>
    <w:rsid w:val="00A36725"/>
    <w:rsid w:val="00A36B77"/>
    <w:rsid w:val="00A36FF6"/>
    <w:rsid w:val="00A37ED9"/>
    <w:rsid w:val="00A40069"/>
    <w:rsid w:val="00A40A99"/>
    <w:rsid w:val="00A417E8"/>
    <w:rsid w:val="00A42D9E"/>
    <w:rsid w:val="00A43807"/>
    <w:rsid w:val="00A479C2"/>
    <w:rsid w:val="00A5015E"/>
    <w:rsid w:val="00A528A7"/>
    <w:rsid w:val="00A56C60"/>
    <w:rsid w:val="00A578EC"/>
    <w:rsid w:val="00A6052B"/>
    <w:rsid w:val="00A60C7D"/>
    <w:rsid w:val="00A64D65"/>
    <w:rsid w:val="00A710BB"/>
    <w:rsid w:val="00A7244E"/>
    <w:rsid w:val="00A7418E"/>
    <w:rsid w:val="00A76860"/>
    <w:rsid w:val="00A7719A"/>
    <w:rsid w:val="00A80278"/>
    <w:rsid w:val="00A80B19"/>
    <w:rsid w:val="00A813FC"/>
    <w:rsid w:val="00A826E1"/>
    <w:rsid w:val="00A83AAD"/>
    <w:rsid w:val="00A863D5"/>
    <w:rsid w:val="00A873D2"/>
    <w:rsid w:val="00A90AF5"/>
    <w:rsid w:val="00A913C3"/>
    <w:rsid w:val="00A95DA6"/>
    <w:rsid w:val="00A972A0"/>
    <w:rsid w:val="00A9777C"/>
    <w:rsid w:val="00AA2AC8"/>
    <w:rsid w:val="00AA34E4"/>
    <w:rsid w:val="00AB211B"/>
    <w:rsid w:val="00AB3055"/>
    <w:rsid w:val="00AB529D"/>
    <w:rsid w:val="00AB545A"/>
    <w:rsid w:val="00AB6524"/>
    <w:rsid w:val="00AB72AB"/>
    <w:rsid w:val="00AB79D9"/>
    <w:rsid w:val="00AC0E55"/>
    <w:rsid w:val="00AC0F03"/>
    <w:rsid w:val="00AC23BD"/>
    <w:rsid w:val="00AC26B7"/>
    <w:rsid w:val="00AC31CD"/>
    <w:rsid w:val="00AD5BA8"/>
    <w:rsid w:val="00AD733D"/>
    <w:rsid w:val="00AE0ED1"/>
    <w:rsid w:val="00AE1358"/>
    <w:rsid w:val="00AE310D"/>
    <w:rsid w:val="00AE39B1"/>
    <w:rsid w:val="00AE61E0"/>
    <w:rsid w:val="00AE62AB"/>
    <w:rsid w:val="00AE65E4"/>
    <w:rsid w:val="00AE748A"/>
    <w:rsid w:val="00AF2E83"/>
    <w:rsid w:val="00AF32BC"/>
    <w:rsid w:val="00AF33AB"/>
    <w:rsid w:val="00AF7B99"/>
    <w:rsid w:val="00B026E1"/>
    <w:rsid w:val="00B04A0F"/>
    <w:rsid w:val="00B05FC7"/>
    <w:rsid w:val="00B111AE"/>
    <w:rsid w:val="00B11D40"/>
    <w:rsid w:val="00B144F8"/>
    <w:rsid w:val="00B1479D"/>
    <w:rsid w:val="00B166C8"/>
    <w:rsid w:val="00B17553"/>
    <w:rsid w:val="00B2347E"/>
    <w:rsid w:val="00B257F1"/>
    <w:rsid w:val="00B26F07"/>
    <w:rsid w:val="00B30799"/>
    <w:rsid w:val="00B30D14"/>
    <w:rsid w:val="00B311C4"/>
    <w:rsid w:val="00B36C35"/>
    <w:rsid w:val="00B40FFC"/>
    <w:rsid w:val="00B4205A"/>
    <w:rsid w:val="00B422F6"/>
    <w:rsid w:val="00B444AE"/>
    <w:rsid w:val="00B50756"/>
    <w:rsid w:val="00B53472"/>
    <w:rsid w:val="00B55A93"/>
    <w:rsid w:val="00B60581"/>
    <w:rsid w:val="00B6266A"/>
    <w:rsid w:val="00B62B24"/>
    <w:rsid w:val="00B65F30"/>
    <w:rsid w:val="00B71286"/>
    <w:rsid w:val="00B73E11"/>
    <w:rsid w:val="00B73F71"/>
    <w:rsid w:val="00B74CC0"/>
    <w:rsid w:val="00B76A63"/>
    <w:rsid w:val="00B80155"/>
    <w:rsid w:val="00B8520C"/>
    <w:rsid w:val="00B85BA1"/>
    <w:rsid w:val="00B85E48"/>
    <w:rsid w:val="00B900F9"/>
    <w:rsid w:val="00B9358C"/>
    <w:rsid w:val="00B944D2"/>
    <w:rsid w:val="00B965BC"/>
    <w:rsid w:val="00BA2D9A"/>
    <w:rsid w:val="00BA57BD"/>
    <w:rsid w:val="00BA7CC1"/>
    <w:rsid w:val="00BB2689"/>
    <w:rsid w:val="00BB4102"/>
    <w:rsid w:val="00BB4DA4"/>
    <w:rsid w:val="00BC19FC"/>
    <w:rsid w:val="00BC1F35"/>
    <w:rsid w:val="00BC4420"/>
    <w:rsid w:val="00BD239D"/>
    <w:rsid w:val="00BD279D"/>
    <w:rsid w:val="00BD3D61"/>
    <w:rsid w:val="00BD65CD"/>
    <w:rsid w:val="00BD66E1"/>
    <w:rsid w:val="00BD6B27"/>
    <w:rsid w:val="00BE1A8A"/>
    <w:rsid w:val="00BE1EA1"/>
    <w:rsid w:val="00BE37E2"/>
    <w:rsid w:val="00BF0810"/>
    <w:rsid w:val="00BF0C11"/>
    <w:rsid w:val="00BF300D"/>
    <w:rsid w:val="00C034AB"/>
    <w:rsid w:val="00C058FD"/>
    <w:rsid w:val="00C06649"/>
    <w:rsid w:val="00C11685"/>
    <w:rsid w:val="00C1635A"/>
    <w:rsid w:val="00C16733"/>
    <w:rsid w:val="00C206C4"/>
    <w:rsid w:val="00C218EC"/>
    <w:rsid w:val="00C22A4F"/>
    <w:rsid w:val="00C32912"/>
    <w:rsid w:val="00C34565"/>
    <w:rsid w:val="00C3537C"/>
    <w:rsid w:val="00C4197C"/>
    <w:rsid w:val="00C429A6"/>
    <w:rsid w:val="00C446F4"/>
    <w:rsid w:val="00C44BFE"/>
    <w:rsid w:val="00C474B4"/>
    <w:rsid w:val="00C509DE"/>
    <w:rsid w:val="00C53932"/>
    <w:rsid w:val="00C56C37"/>
    <w:rsid w:val="00C6160A"/>
    <w:rsid w:val="00C6415E"/>
    <w:rsid w:val="00C646DD"/>
    <w:rsid w:val="00C7032D"/>
    <w:rsid w:val="00C7370D"/>
    <w:rsid w:val="00C77526"/>
    <w:rsid w:val="00C817E9"/>
    <w:rsid w:val="00C82523"/>
    <w:rsid w:val="00C84548"/>
    <w:rsid w:val="00C91057"/>
    <w:rsid w:val="00C92DE8"/>
    <w:rsid w:val="00C93E82"/>
    <w:rsid w:val="00C945D4"/>
    <w:rsid w:val="00C949BD"/>
    <w:rsid w:val="00CA05AB"/>
    <w:rsid w:val="00CA328A"/>
    <w:rsid w:val="00CA333E"/>
    <w:rsid w:val="00CA349E"/>
    <w:rsid w:val="00CA4490"/>
    <w:rsid w:val="00CA7045"/>
    <w:rsid w:val="00CB2C93"/>
    <w:rsid w:val="00CB2FC2"/>
    <w:rsid w:val="00CC0237"/>
    <w:rsid w:val="00CC163B"/>
    <w:rsid w:val="00CC1B6A"/>
    <w:rsid w:val="00CC4C3B"/>
    <w:rsid w:val="00CC67EE"/>
    <w:rsid w:val="00CD0B6A"/>
    <w:rsid w:val="00CD331B"/>
    <w:rsid w:val="00CD35AF"/>
    <w:rsid w:val="00CD580E"/>
    <w:rsid w:val="00CD63DB"/>
    <w:rsid w:val="00CE0FBB"/>
    <w:rsid w:val="00CE481B"/>
    <w:rsid w:val="00CE5AD7"/>
    <w:rsid w:val="00CE75F5"/>
    <w:rsid w:val="00CE766D"/>
    <w:rsid w:val="00CF504D"/>
    <w:rsid w:val="00D022F0"/>
    <w:rsid w:val="00D02BFB"/>
    <w:rsid w:val="00D032E4"/>
    <w:rsid w:val="00D04A6A"/>
    <w:rsid w:val="00D05258"/>
    <w:rsid w:val="00D0630C"/>
    <w:rsid w:val="00D108EA"/>
    <w:rsid w:val="00D13EF9"/>
    <w:rsid w:val="00D14357"/>
    <w:rsid w:val="00D20DBB"/>
    <w:rsid w:val="00D229E6"/>
    <w:rsid w:val="00D23CC3"/>
    <w:rsid w:val="00D25F93"/>
    <w:rsid w:val="00D26599"/>
    <w:rsid w:val="00D30AE9"/>
    <w:rsid w:val="00D30F39"/>
    <w:rsid w:val="00D35E4C"/>
    <w:rsid w:val="00D37EBE"/>
    <w:rsid w:val="00D41104"/>
    <w:rsid w:val="00D424E1"/>
    <w:rsid w:val="00D449F6"/>
    <w:rsid w:val="00D44A8A"/>
    <w:rsid w:val="00D4533F"/>
    <w:rsid w:val="00D50003"/>
    <w:rsid w:val="00D51353"/>
    <w:rsid w:val="00D51C03"/>
    <w:rsid w:val="00D51C9F"/>
    <w:rsid w:val="00D521B5"/>
    <w:rsid w:val="00D5641D"/>
    <w:rsid w:val="00D56AB6"/>
    <w:rsid w:val="00D574C4"/>
    <w:rsid w:val="00D60E9D"/>
    <w:rsid w:val="00D6327D"/>
    <w:rsid w:val="00D66DC7"/>
    <w:rsid w:val="00D72FBE"/>
    <w:rsid w:val="00D76270"/>
    <w:rsid w:val="00D81BD4"/>
    <w:rsid w:val="00D82131"/>
    <w:rsid w:val="00D92178"/>
    <w:rsid w:val="00D929D1"/>
    <w:rsid w:val="00D9352B"/>
    <w:rsid w:val="00D93BBD"/>
    <w:rsid w:val="00D966A2"/>
    <w:rsid w:val="00D97D37"/>
    <w:rsid w:val="00DA3296"/>
    <w:rsid w:val="00DA38AD"/>
    <w:rsid w:val="00DA4EA9"/>
    <w:rsid w:val="00DB2172"/>
    <w:rsid w:val="00DB348C"/>
    <w:rsid w:val="00DB6A90"/>
    <w:rsid w:val="00DB6C34"/>
    <w:rsid w:val="00DB7DEC"/>
    <w:rsid w:val="00DC173B"/>
    <w:rsid w:val="00DC3E83"/>
    <w:rsid w:val="00DC4815"/>
    <w:rsid w:val="00DD313D"/>
    <w:rsid w:val="00DD4B09"/>
    <w:rsid w:val="00DD4B4A"/>
    <w:rsid w:val="00DD4C50"/>
    <w:rsid w:val="00DD5424"/>
    <w:rsid w:val="00DE03EB"/>
    <w:rsid w:val="00DE0DDB"/>
    <w:rsid w:val="00DE32BD"/>
    <w:rsid w:val="00DF0900"/>
    <w:rsid w:val="00DF0BCD"/>
    <w:rsid w:val="00DF0E74"/>
    <w:rsid w:val="00DF3E3C"/>
    <w:rsid w:val="00DF4F8B"/>
    <w:rsid w:val="00DF665C"/>
    <w:rsid w:val="00DF6D93"/>
    <w:rsid w:val="00DF7E63"/>
    <w:rsid w:val="00E03B0A"/>
    <w:rsid w:val="00E04473"/>
    <w:rsid w:val="00E04B38"/>
    <w:rsid w:val="00E06352"/>
    <w:rsid w:val="00E079B9"/>
    <w:rsid w:val="00E11D99"/>
    <w:rsid w:val="00E11ECD"/>
    <w:rsid w:val="00E15E91"/>
    <w:rsid w:val="00E16D13"/>
    <w:rsid w:val="00E20C92"/>
    <w:rsid w:val="00E27781"/>
    <w:rsid w:val="00E30590"/>
    <w:rsid w:val="00E32283"/>
    <w:rsid w:val="00E346B7"/>
    <w:rsid w:val="00E43E83"/>
    <w:rsid w:val="00E512AD"/>
    <w:rsid w:val="00E5278A"/>
    <w:rsid w:val="00E60E4F"/>
    <w:rsid w:val="00E63FDE"/>
    <w:rsid w:val="00E648D6"/>
    <w:rsid w:val="00E67245"/>
    <w:rsid w:val="00E70B6A"/>
    <w:rsid w:val="00E72FF7"/>
    <w:rsid w:val="00E734CA"/>
    <w:rsid w:val="00E74326"/>
    <w:rsid w:val="00E76A41"/>
    <w:rsid w:val="00E7710B"/>
    <w:rsid w:val="00E77610"/>
    <w:rsid w:val="00E810D8"/>
    <w:rsid w:val="00E81950"/>
    <w:rsid w:val="00E87B5B"/>
    <w:rsid w:val="00E87EF0"/>
    <w:rsid w:val="00E91EAD"/>
    <w:rsid w:val="00E960ED"/>
    <w:rsid w:val="00E96951"/>
    <w:rsid w:val="00E97845"/>
    <w:rsid w:val="00EA2844"/>
    <w:rsid w:val="00EA43E0"/>
    <w:rsid w:val="00EA66A3"/>
    <w:rsid w:val="00EB2536"/>
    <w:rsid w:val="00EB47FE"/>
    <w:rsid w:val="00EB54AA"/>
    <w:rsid w:val="00EB746E"/>
    <w:rsid w:val="00EC11E8"/>
    <w:rsid w:val="00EC2723"/>
    <w:rsid w:val="00EC46A4"/>
    <w:rsid w:val="00EC4921"/>
    <w:rsid w:val="00EC5BE8"/>
    <w:rsid w:val="00ED14D2"/>
    <w:rsid w:val="00ED237E"/>
    <w:rsid w:val="00ED4FF1"/>
    <w:rsid w:val="00ED5E32"/>
    <w:rsid w:val="00EE56A9"/>
    <w:rsid w:val="00EE6D0C"/>
    <w:rsid w:val="00EF39BE"/>
    <w:rsid w:val="00EF4DCA"/>
    <w:rsid w:val="00EF4FE1"/>
    <w:rsid w:val="00EF7C20"/>
    <w:rsid w:val="00F06447"/>
    <w:rsid w:val="00F072F7"/>
    <w:rsid w:val="00F078E4"/>
    <w:rsid w:val="00F1273C"/>
    <w:rsid w:val="00F16D8E"/>
    <w:rsid w:val="00F2628F"/>
    <w:rsid w:val="00F27245"/>
    <w:rsid w:val="00F3243C"/>
    <w:rsid w:val="00F34E62"/>
    <w:rsid w:val="00F34F1B"/>
    <w:rsid w:val="00F372E0"/>
    <w:rsid w:val="00F40D5B"/>
    <w:rsid w:val="00F53BFD"/>
    <w:rsid w:val="00F56077"/>
    <w:rsid w:val="00F600A1"/>
    <w:rsid w:val="00F70596"/>
    <w:rsid w:val="00F70645"/>
    <w:rsid w:val="00F72E5D"/>
    <w:rsid w:val="00F769A3"/>
    <w:rsid w:val="00F77DA0"/>
    <w:rsid w:val="00F82048"/>
    <w:rsid w:val="00F83D21"/>
    <w:rsid w:val="00F919F4"/>
    <w:rsid w:val="00F91D1C"/>
    <w:rsid w:val="00F91E06"/>
    <w:rsid w:val="00F92BF3"/>
    <w:rsid w:val="00F9557D"/>
    <w:rsid w:val="00F97498"/>
    <w:rsid w:val="00FA5437"/>
    <w:rsid w:val="00FA5A6C"/>
    <w:rsid w:val="00FA7912"/>
    <w:rsid w:val="00FB00D8"/>
    <w:rsid w:val="00FB0B90"/>
    <w:rsid w:val="00FB3609"/>
    <w:rsid w:val="00FB47C1"/>
    <w:rsid w:val="00FC0FA3"/>
    <w:rsid w:val="00FC238C"/>
    <w:rsid w:val="00FC445E"/>
    <w:rsid w:val="00FC6260"/>
    <w:rsid w:val="00FD2A37"/>
    <w:rsid w:val="00FD343D"/>
    <w:rsid w:val="00FE084E"/>
    <w:rsid w:val="00FE21F1"/>
    <w:rsid w:val="00FE5B25"/>
    <w:rsid w:val="00FE6774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ADA4E76-9BAD-416B-92F0-08B059E7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2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4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BF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1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E3A"/>
  </w:style>
  <w:style w:type="paragraph" w:styleId="Piedepgina">
    <w:name w:val="footer"/>
    <w:basedOn w:val="Normal"/>
    <w:link w:val="PiedepginaCar"/>
    <w:uiPriority w:val="99"/>
    <w:unhideWhenUsed/>
    <w:rsid w:val="00A21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223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6260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B88C-5C11-4C6E-B4E6-2891DFF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Paz Mendia Ramirez</dc:creator>
  <cp:lastModifiedBy>Leticia Baquedano Duran</cp:lastModifiedBy>
  <cp:revision>2</cp:revision>
  <dcterms:created xsi:type="dcterms:W3CDTF">2016-10-28T14:09:00Z</dcterms:created>
  <dcterms:modified xsi:type="dcterms:W3CDTF">2016-10-28T14:09:00Z</dcterms:modified>
</cp:coreProperties>
</file>