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019E" w14:textId="1BB1D3FC" w:rsidR="00287A9E" w:rsidRPr="00B27105" w:rsidRDefault="00287A9E" w:rsidP="00FC1A65">
      <w:pPr>
        <w:widowControl w:val="0"/>
        <w:autoSpaceDE w:val="0"/>
        <w:autoSpaceDN w:val="0"/>
        <w:adjustRightInd w:val="0"/>
        <w:spacing w:line="254" w:lineRule="auto"/>
        <w:ind w:right="-991"/>
        <w:rPr>
          <w:rFonts w:cstheme="minorHAnsi"/>
          <w:lang w:val="es-419"/>
        </w:rPr>
      </w:pPr>
    </w:p>
    <w:p w14:paraId="5E231605" w14:textId="77777777" w:rsidR="00234708" w:rsidRPr="00B27105" w:rsidRDefault="00234708" w:rsidP="00FC1A65">
      <w:pPr>
        <w:spacing w:line="254" w:lineRule="auto"/>
        <w:rPr>
          <w:rFonts w:cstheme="minorHAnsi"/>
          <w:b/>
          <w:lang w:val="es-419"/>
        </w:rPr>
      </w:pPr>
      <w:r w:rsidRPr="00B27105">
        <w:rPr>
          <w:rFonts w:cstheme="minorHAnsi"/>
          <w:b/>
          <w:lang w:val="es-419"/>
        </w:rPr>
        <w:t xml:space="preserve">RESOLUCIÓN EXENTA N° </w:t>
      </w:r>
    </w:p>
    <w:p w14:paraId="0310AA77" w14:textId="77777777" w:rsidR="00234708" w:rsidRPr="00B27105" w:rsidRDefault="00234708" w:rsidP="00FC1A65">
      <w:pPr>
        <w:spacing w:line="254" w:lineRule="auto"/>
        <w:rPr>
          <w:rFonts w:cstheme="minorHAnsi"/>
          <w:b/>
          <w:lang w:val="es-419"/>
        </w:rPr>
      </w:pPr>
    </w:p>
    <w:p w14:paraId="3168593E" w14:textId="77777777" w:rsidR="00234708" w:rsidRPr="00B27105" w:rsidRDefault="00234708" w:rsidP="00FC1A65">
      <w:pPr>
        <w:spacing w:line="254" w:lineRule="auto"/>
        <w:rPr>
          <w:rFonts w:cstheme="minorHAnsi"/>
          <w:b/>
          <w:lang w:val="es-419"/>
        </w:rPr>
      </w:pPr>
      <w:r w:rsidRPr="00B27105">
        <w:rPr>
          <w:rFonts w:cstheme="minorHAnsi"/>
          <w:b/>
          <w:lang w:val="es-419"/>
        </w:rPr>
        <w:t xml:space="preserve">VALPARAÍSO, </w:t>
      </w:r>
    </w:p>
    <w:p w14:paraId="0B347A58" w14:textId="77777777" w:rsidR="00234708" w:rsidRPr="00B27105" w:rsidRDefault="00234708" w:rsidP="00FC1A65">
      <w:pPr>
        <w:spacing w:line="254" w:lineRule="auto"/>
        <w:rPr>
          <w:rFonts w:cstheme="minorHAnsi"/>
          <w:b/>
          <w:lang w:val="es-419"/>
        </w:rPr>
      </w:pPr>
    </w:p>
    <w:p w14:paraId="35EC60B4" w14:textId="77777777" w:rsidR="00C77202" w:rsidRPr="00B27105" w:rsidRDefault="00234708" w:rsidP="00FC1A65">
      <w:pPr>
        <w:tabs>
          <w:tab w:val="left" w:pos="6210"/>
        </w:tabs>
        <w:spacing w:line="254" w:lineRule="auto"/>
        <w:jc w:val="both"/>
        <w:rPr>
          <w:rFonts w:cstheme="minorHAnsi"/>
          <w:lang w:val="es-419"/>
        </w:rPr>
      </w:pPr>
      <w:r w:rsidRPr="00B27105">
        <w:rPr>
          <w:rFonts w:cstheme="minorHAnsi"/>
          <w:b/>
          <w:lang w:val="es-419"/>
        </w:rPr>
        <w:t>VISTOS:</w:t>
      </w:r>
      <w:r w:rsidRPr="00B27105">
        <w:rPr>
          <w:rFonts w:cstheme="minorHAnsi"/>
          <w:lang w:val="es-419"/>
        </w:rPr>
        <w:t xml:space="preserve"> </w:t>
      </w:r>
    </w:p>
    <w:p w14:paraId="73C08E12" w14:textId="77777777" w:rsidR="00603779" w:rsidRPr="00B27105" w:rsidRDefault="00603779" w:rsidP="00FC1A65">
      <w:pPr>
        <w:tabs>
          <w:tab w:val="left" w:pos="6210"/>
        </w:tabs>
        <w:spacing w:line="254" w:lineRule="auto"/>
        <w:jc w:val="both"/>
        <w:rPr>
          <w:rFonts w:cstheme="minorHAnsi"/>
          <w:lang w:val="es-419"/>
        </w:rPr>
      </w:pPr>
    </w:p>
    <w:p w14:paraId="3D174572"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El Decreto con Fuerza de Ley N.º 30, de 2004, del Ministerio de Hacienda, publicado en el Diario Oficial de 04.06.2005, que fija el texto refundido, coordinado y sistematizado de la Ordenanza de Aduanas.</w:t>
      </w:r>
    </w:p>
    <w:p w14:paraId="40CFF876" w14:textId="77777777" w:rsidR="00603779" w:rsidRPr="00B27105" w:rsidRDefault="00603779" w:rsidP="00FC1A65">
      <w:pPr>
        <w:pStyle w:val="Sinespaciado"/>
        <w:spacing w:before="0" w:after="0" w:line="254" w:lineRule="auto"/>
        <w:ind w:left="0"/>
        <w:rPr>
          <w:rFonts w:cstheme="minorHAnsi"/>
          <w:sz w:val="24"/>
          <w:szCs w:val="24"/>
          <w:lang w:val="es-419"/>
        </w:rPr>
      </w:pPr>
    </w:p>
    <w:p w14:paraId="057B9CBD"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El Decreto N.º 329, de 1979, del Ministerio de Hacienda, publicado en el Diario Oficial de 26.06.1979, que aprueba la Ley Orgánica del Servicio Nacional de Aduanas.</w:t>
      </w:r>
    </w:p>
    <w:p w14:paraId="7238B847" w14:textId="77777777" w:rsidR="00603779" w:rsidRPr="00B27105" w:rsidRDefault="00603779" w:rsidP="00FC1A65">
      <w:pPr>
        <w:pStyle w:val="Sinespaciado"/>
        <w:spacing w:before="0" w:after="0" w:line="254" w:lineRule="auto"/>
        <w:ind w:left="0"/>
        <w:rPr>
          <w:rFonts w:cstheme="minorHAnsi"/>
          <w:sz w:val="24"/>
          <w:szCs w:val="24"/>
          <w:lang w:val="es-419"/>
        </w:rPr>
      </w:pPr>
    </w:p>
    <w:p w14:paraId="05026FC9"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El Decreto N.º 257, de 1991, del Ministerio de Relaciones Exteriores, que promulga el Acuerdo sobre Transporte Internacional Terrestre adoptado el 01 de enero de 1990 por Chile, Argentina, Bolivia, Brasil, Paraguay y Uruguay (ATIT).</w:t>
      </w:r>
    </w:p>
    <w:p w14:paraId="49872C63" w14:textId="77777777" w:rsidR="00603779" w:rsidRPr="00B27105" w:rsidRDefault="00603779" w:rsidP="00FC1A65">
      <w:pPr>
        <w:pStyle w:val="Sinespaciado"/>
        <w:spacing w:before="0" w:after="0" w:line="254" w:lineRule="auto"/>
        <w:ind w:left="0"/>
        <w:rPr>
          <w:rFonts w:cstheme="minorHAnsi"/>
          <w:sz w:val="24"/>
          <w:szCs w:val="24"/>
          <w:lang w:val="es-419"/>
        </w:rPr>
      </w:pPr>
    </w:p>
    <w:p w14:paraId="61BEBEE9"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La Resolución N.º 1300, de 14.03.2006, de la Dirección Nacional de Aduanas, publicada en el Diario Oficial de 17.11.2008, que establece el Compendio de Normas Aduaneras.</w:t>
      </w:r>
    </w:p>
    <w:p w14:paraId="6DAECE87" w14:textId="77777777" w:rsidR="00603779" w:rsidRPr="00B27105" w:rsidRDefault="00603779" w:rsidP="00FC1A65">
      <w:pPr>
        <w:pStyle w:val="Sinespaciado"/>
        <w:spacing w:before="0" w:after="0" w:line="254" w:lineRule="auto"/>
        <w:ind w:left="0"/>
        <w:rPr>
          <w:rFonts w:cstheme="minorHAnsi"/>
          <w:sz w:val="24"/>
          <w:szCs w:val="24"/>
          <w:lang w:val="es-419"/>
        </w:rPr>
      </w:pPr>
    </w:p>
    <w:p w14:paraId="663601BC"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La Resolución N.º 6152, de 11.09.2009, de la Dirección Nacional de Aduanas, publicada en el Diario Oficial de 28.09.2009, que establece "Instrucciones para la manifestación terrestre vía carretera".</w:t>
      </w:r>
    </w:p>
    <w:p w14:paraId="40ED6A54" w14:textId="77777777" w:rsidR="00603779" w:rsidRPr="00B27105" w:rsidRDefault="00603779" w:rsidP="00FC1A65">
      <w:pPr>
        <w:pStyle w:val="Sinespaciado"/>
        <w:spacing w:before="0" w:after="0" w:line="254" w:lineRule="auto"/>
        <w:ind w:left="0"/>
        <w:rPr>
          <w:rFonts w:cstheme="minorHAnsi"/>
          <w:sz w:val="24"/>
          <w:szCs w:val="24"/>
          <w:lang w:val="es-419"/>
        </w:rPr>
      </w:pPr>
    </w:p>
    <w:p w14:paraId="6F14FAF8"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El Oficio N.º 6068, de 14.08.2024, de la Subdirección Jurídica del Servicio Nacional de Aduanas, que revisa el tratamiento de los contenedores vacíos en el marco del Acuerdo sobre Transporte Internacional Terrestre, adoptado por Chile, Argentina, Bolivia, Brasil, Paraguay y Uruguay, promulgado mediante decreto N.º 257 de 1991, del Ministerio de Relaciones Exteriores, (ATIT).</w:t>
      </w:r>
    </w:p>
    <w:p w14:paraId="2757F151" w14:textId="77777777" w:rsidR="00603779" w:rsidRPr="00B27105" w:rsidRDefault="00603779" w:rsidP="00FC1A65">
      <w:pPr>
        <w:pStyle w:val="Sinespaciado"/>
        <w:spacing w:before="0" w:after="0" w:line="254" w:lineRule="auto"/>
        <w:ind w:left="0"/>
        <w:rPr>
          <w:rFonts w:cstheme="minorHAnsi"/>
          <w:sz w:val="24"/>
          <w:szCs w:val="24"/>
          <w:lang w:val="es-419"/>
        </w:rPr>
      </w:pPr>
    </w:p>
    <w:p w14:paraId="73D185B1" w14:textId="77777777" w:rsidR="00603779" w:rsidRPr="00B27105" w:rsidRDefault="00603779" w:rsidP="00FC1A65">
      <w:pPr>
        <w:spacing w:line="254" w:lineRule="auto"/>
        <w:ind w:right="-21"/>
        <w:jc w:val="both"/>
        <w:rPr>
          <w:rFonts w:cstheme="minorHAnsi"/>
          <w:b/>
          <w:lang w:val="es-419"/>
        </w:rPr>
      </w:pPr>
      <w:r w:rsidRPr="00B27105">
        <w:rPr>
          <w:rFonts w:cstheme="minorHAnsi"/>
          <w:b/>
          <w:lang w:val="es-419"/>
        </w:rPr>
        <w:t>CONSIDERANDO:</w:t>
      </w:r>
    </w:p>
    <w:p w14:paraId="4802CC44" w14:textId="77777777" w:rsidR="00603779" w:rsidRPr="00B27105" w:rsidRDefault="00603779" w:rsidP="00FC1A65">
      <w:pPr>
        <w:pStyle w:val="Sinespaciado"/>
        <w:spacing w:before="0" w:after="0" w:line="254" w:lineRule="auto"/>
        <w:ind w:left="0"/>
        <w:rPr>
          <w:rFonts w:cstheme="minorHAnsi"/>
          <w:sz w:val="24"/>
          <w:szCs w:val="24"/>
          <w:lang w:val="es-419"/>
        </w:rPr>
      </w:pPr>
    </w:p>
    <w:p w14:paraId="2E631503"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Que, en el marco del proyecto "Análisis, modelamiento y diseño interconexión operaciones terrestres Chile países ATIT (SINTIA)", que corresponde al cumplimiento del compromiso establecido en el Acuerdo Comercial suscrito entre la República de Chile y la República Argentina, ambas partes se encuentran trabajando en los distintos temas necesarios para su ejecución, analizando, dentro de ellos, una serie de situaciones que generarían complicaciones en la tramitación electrónica del Manifiesto Internacional de Carga/Declaración de Tránsito Aduanero (MIC/DTA), una de las cuales se refiere al tratamiento que se le debe dar a las operaciones que ingresan a Argentina, provenientes de Chile, con el contender vacío y son declarados con carga sólo por llevar el contenedor, lo que genera inconvenientes para los transportistas en las áreas operativas, por cuanto, en este caso, no hay un documento de transporte. Este tratamiento, además, es contrario al criterio adoptado por todos los demás miembros de ATIT, ya que el Acuerdo define al contenedor como una "unidad de transporte".</w:t>
      </w:r>
    </w:p>
    <w:p w14:paraId="2A29D26F" w14:textId="77777777" w:rsidR="00603779" w:rsidRPr="00B27105" w:rsidRDefault="00603779" w:rsidP="00FC1A65">
      <w:pPr>
        <w:pStyle w:val="Sinespaciado"/>
        <w:spacing w:before="0" w:after="0" w:line="254" w:lineRule="auto"/>
        <w:ind w:left="0"/>
        <w:rPr>
          <w:rFonts w:cstheme="minorHAnsi"/>
          <w:sz w:val="24"/>
          <w:szCs w:val="24"/>
          <w:lang w:val="es-419"/>
        </w:rPr>
      </w:pPr>
    </w:p>
    <w:p w14:paraId="217AA499" w14:textId="367591F2"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lastRenderedPageBreak/>
        <w:t xml:space="preserve">Que, para la legislación chilena los contenedores son mercancía, por tratarse de bienes corporales muebles, conforme a las definiciones establecidas en el artículo N.º 2 de la Ordenanza de Aduanas, pudiendo ser extranjera si proviene del exterior y no se ha nacionalizado, o bien nacional si se ha producido o manufacturado en el país, o nacionalizada si se trata de mercancía extranjera cuya importación se ha consumado legalmente. Por otra parte, de acuerdo con lo dispuesto en el artículo 107, inciso cuarto, letra i) de la Ordenanza de Aduanas, la admisión temporal de contenedores, </w:t>
      </w:r>
      <w:proofErr w:type="spellStart"/>
      <w:r w:rsidRPr="00B27105">
        <w:rPr>
          <w:rFonts w:cstheme="minorHAnsi"/>
          <w:sz w:val="24"/>
          <w:szCs w:val="24"/>
          <w:lang w:val="es-419"/>
        </w:rPr>
        <w:t>dravos</w:t>
      </w:r>
      <w:proofErr w:type="spellEnd"/>
      <w:r w:rsidRPr="00B27105">
        <w:rPr>
          <w:rFonts w:cstheme="minorHAnsi"/>
          <w:sz w:val="24"/>
          <w:szCs w:val="24"/>
          <w:lang w:val="es-419"/>
        </w:rPr>
        <w:t xml:space="preserve"> y otros similares destinados a servir de envase general, se encuentra exenta de tasa, por el plazo de hasta un año, prorrogable por una sola vez.</w:t>
      </w:r>
    </w:p>
    <w:p w14:paraId="790944DD" w14:textId="77777777" w:rsidR="00603779" w:rsidRPr="00B27105" w:rsidRDefault="00603779" w:rsidP="00FC1A65">
      <w:pPr>
        <w:autoSpaceDE w:val="0"/>
        <w:autoSpaceDN w:val="0"/>
        <w:adjustRightInd w:val="0"/>
        <w:spacing w:line="254" w:lineRule="auto"/>
        <w:rPr>
          <w:rFonts w:cstheme="minorHAnsi"/>
          <w:color w:val="36393B"/>
          <w:lang w:val="es-419"/>
        </w:rPr>
      </w:pPr>
    </w:p>
    <w:p w14:paraId="73A3D6D5"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Que, en ejercicio de las facultades del(de la) Director(a) Nacional de Aduanas, se estableció un procedimiento simplificado para la admisión temporal de contenedores, que permite llevar el control de su ingreso y salida del país, el cual contempla un registro de Operadores de Contenedores, quienes deben mantener un sistema informático para: el registro y emisión de los TATC (Títulos de Admisión Temporal de Contenedores) y TSTC (Título de Salida Temporal de Contenedores) electrónicos, el control de los plazos de vigencia, cancelación y prórrogas de los respectivos títulos; y, un archivo con todos los antecedentes relativos a los títulos y sus movimientos. Así, en dicho sistema se registra, con respaldo de los respectivos títulos suspensivos, la entrada, permanencia, traspaso y salida de los contenedores.</w:t>
      </w:r>
    </w:p>
    <w:p w14:paraId="6F758FA7" w14:textId="77777777" w:rsidR="00603779" w:rsidRPr="00B27105" w:rsidRDefault="00603779" w:rsidP="00FC1A65">
      <w:pPr>
        <w:pStyle w:val="Sinespaciado"/>
        <w:spacing w:before="0" w:after="0" w:line="254" w:lineRule="auto"/>
        <w:ind w:left="0"/>
        <w:rPr>
          <w:rFonts w:cstheme="minorHAnsi"/>
          <w:sz w:val="24"/>
          <w:szCs w:val="24"/>
          <w:lang w:val="es-419"/>
        </w:rPr>
      </w:pPr>
    </w:p>
    <w:p w14:paraId="0C14F7A0"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Que, de acuerdo con la regulación administrativa cuando un contenedor sale o ingresa al país, el Operador de Contenedores respectivo, emite en su sistema computacional un TSTC o un TATC Electrónico, asociando este último al número de identificación del contenedor, con la información previamente recibida por parte del transportista, debiendo, además, al momento de confeccionar el MIC/DTA, consignarse el número del TATC en el campo 36 de dicho documento.</w:t>
      </w:r>
    </w:p>
    <w:p w14:paraId="1B6C75A4" w14:textId="77777777" w:rsidR="00603779" w:rsidRPr="00B27105" w:rsidRDefault="00603779" w:rsidP="00FC1A65">
      <w:pPr>
        <w:pStyle w:val="Sinespaciado"/>
        <w:spacing w:before="0" w:after="0" w:line="254" w:lineRule="auto"/>
        <w:ind w:left="0"/>
        <w:rPr>
          <w:rFonts w:cstheme="minorHAnsi"/>
          <w:sz w:val="24"/>
          <w:szCs w:val="24"/>
          <w:lang w:val="es-419"/>
        </w:rPr>
      </w:pPr>
    </w:p>
    <w:p w14:paraId="2AE9D71E"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Que, el sistema de autocontrol computacional de los contenedores que salen y o ingresan al país, ha sido compatible con ATIT, constituyendo para el Servicio una herramienta relevante de control tanto para el ingreso, permanencia y salida de los contenedores en todo el territorio nacional, disminuyendo el nivel de riesgo asociado.</w:t>
      </w:r>
    </w:p>
    <w:p w14:paraId="67EE58C3" w14:textId="77777777" w:rsidR="00603779" w:rsidRPr="00B27105" w:rsidRDefault="00603779" w:rsidP="00FC1A65">
      <w:pPr>
        <w:pStyle w:val="Sinespaciado"/>
        <w:spacing w:before="0" w:after="0" w:line="254" w:lineRule="auto"/>
        <w:ind w:left="0"/>
        <w:rPr>
          <w:rFonts w:cstheme="minorHAnsi"/>
          <w:sz w:val="24"/>
          <w:szCs w:val="24"/>
          <w:lang w:val="es-419"/>
        </w:rPr>
      </w:pPr>
    </w:p>
    <w:p w14:paraId="3DD019E4"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Que, el Anexo I, sobre "Aspectos Aduaneros" del ATIT, define al contenedor como una Unidad de Carga y elemento del equipo de transporte, señalando en su artículo 28 que, para el paso de las unidades de transporte sin carga por las aduanas de paso de frontera de los países, se deberá presentar un MIC/DTA, que se procesará por medios informáticos, cuando estén disponibles.</w:t>
      </w:r>
    </w:p>
    <w:p w14:paraId="737E0CA0" w14:textId="77777777" w:rsidR="00603779" w:rsidRPr="00B27105" w:rsidRDefault="00603779" w:rsidP="00FC1A65">
      <w:pPr>
        <w:pStyle w:val="Sinespaciado"/>
        <w:spacing w:before="0" w:after="0" w:line="254" w:lineRule="auto"/>
        <w:ind w:left="0"/>
        <w:rPr>
          <w:rFonts w:cstheme="minorHAnsi"/>
          <w:sz w:val="24"/>
          <w:szCs w:val="24"/>
          <w:lang w:val="es-419"/>
        </w:rPr>
      </w:pPr>
    </w:p>
    <w:p w14:paraId="45B75D4C"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 xml:space="preserve">Que, de acuerdo con lo expuesto se evidencian dos regímenes jurídicos aplicables al ingreso y salida de contenedores vacíos al amparo de un MIC/DTA, por una parte, la legislación nacional que lo considera mercancía y, por otra, el ATIT que lo trata como una unidad de transporte que se </w:t>
      </w:r>
      <w:proofErr w:type="gramStart"/>
      <w:r w:rsidRPr="00B27105">
        <w:rPr>
          <w:rFonts w:cstheme="minorHAnsi"/>
          <w:sz w:val="24"/>
          <w:szCs w:val="24"/>
          <w:lang w:val="es-419"/>
        </w:rPr>
        <w:t>declara como</w:t>
      </w:r>
      <w:proofErr w:type="gramEnd"/>
      <w:r w:rsidRPr="00B27105">
        <w:rPr>
          <w:rFonts w:cstheme="minorHAnsi"/>
          <w:sz w:val="24"/>
          <w:szCs w:val="24"/>
          <w:lang w:val="es-419"/>
        </w:rPr>
        <w:t xml:space="preserve"> lastre y no requiere de CRT.</w:t>
      </w:r>
    </w:p>
    <w:p w14:paraId="2682FA29" w14:textId="77777777" w:rsidR="00603779" w:rsidRPr="00B27105" w:rsidRDefault="00603779" w:rsidP="00FC1A65">
      <w:pPr>
        <w:autoSpaceDE w:val="0"/>
        <w:autoSpaceDN w:val="0"/>
        <w:adjustRightInd w:val="0"/>
        <w:spacing w:line="254" w:lineRule="auto"/>
        <w:rPr>
          <w:rFonts w:cstheme="minorHAnsi"/>
          <w:color w:val="36393B"/>
          <w:lang w:val="es-419"/>
        </w:rPr>
      </w:pPr>
    </w:p>
    <w:p w14:paraId="09C3D0AA" w14:textId="77777777" w:rsidR="00603779" w:rsidRPr="00B27105" w:rsidRDefault="00603779"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 xml:space="preserve">Que, con la finalidad de evitar diferencias de criterio en el tratamiento del ingreso y salida de contenedores vacíos al amparo de un MIC/DTA y teniendo presente que corresponde aplicar </w:t>
      </w:r>
      <w:r w:rsidRPr="00B27105">
        <w:rPr>
          <w:rFonts w:cstheme="minorHAnsi"/>
          <w:sz w:val="24"/>
          <w:szCs w:val="24"/>
          <w:lang w:val="es-419"/>
        </w:rPr>
        <w:lastRenderedPageBreak/>
        <w:t>el marco jurídico del Acuerdo sobre Transporte Internacional Terrestre (ATIT), se adecuará la regulación administrativa nacional en tal sentido, debiendo declararse como lastre, por ende sin necesidad de emitir un CRT, pero manteniendo la incorporación de datos del TSTV o TATC electrónico, para el control por sistema de los contenedores vacíos e incorporando el número de contenedor, en caso que no exista TSTV o TATC.</w:t>
      </w:r>
    </w:p>
    <w:p w14:paraId="41E1A59C" w14:textId="77777777" w:rsidR="001E68DB" w:rsidRPr="00B27105" w:rsidRDefault="001E68DB" w:rsidP="00FC1A65">
      <w:pPr>
        <w:pStyle w:val="Sinespaciado"/>
        <w:spacing w:before="0" w:after="0" w:line="254" w:lineRule="auto"/>
        <w:ind w:left="0"/>
        <w:rPr>
          <w:rFonts w:cstheme="minorHAnsi"/>
          <w:sz w:val="24"/>
          <w:szCs w:val="24"/>
          <w:lang w:val="es-419"/>
        </w:rPr>
      </w:pPr>
    </w:p>
    <w:p w14:paraId="4C61CE96" w14:textId="32B76091" w:rsidR="001E68DB" w:rsidRPr="00B27105" w:rsidRDefault="001E68DB" w:rsidP="00FC1A65">
      <w:pPr>
        <w:spacing w:line="254" w:lineRule="auto"/>
        <w:jc w:val="both"/>
        <w:rPr>
          <w:rFonts w:cstheme="minorHAnsi"/>
          <w:lang w:val="es-419"/>
        </w:rPr>
      </w:pPr>
      <w:r w:rsidRPr="00B27105">
        <w:rPr>
          <w:rFonts w:cstheme="minorHAnsi"/>
          <w:lang w:val="es-419"/>
        </w:rPr>
        <w:t xml:space="preserve">Que, conforme a lo establecido en la Resolución N° 223, de 24 de enero de 2022, del Director  Nacional de Aduanas, que Aprueba el Procedimiento de Publicación Anticipada, la Resolución Exenta fue puesta a disposición de los operadores del comercio exterior y de la ciudadanía, a través de la página web institucional, entre los días </w:t>
      </w:r>
      <w:proofErr w:type="spellStart"/>
      <w:r w:rsidR="007F5692" w:rsidRPr="00B27105">
        <w:rPr>
          <w:rFonts w:cstheme="minorHAnsi"/>
          <w:lang w:val="es-419"/>
        </w:rPr>
        <w:t>xx</w:t>
      </w:r>
      <w:proofErr w:type="spellEnd"/>
      <w:r w:rsidRPr="00B27105">
        <w:rPr>
          <w:rFonts w:cstheme="minorHAnsi"/>
          <w:lang w:val="es-419"/>
        </w:rPr>
        <w:t xml:space="preserve"> de </w:t>
      </w:r>
      <w:proofErr w:type="spellStart"/>
      <w:r w:rsidR="007F5692" w:rsidRPr="00B27105">
        <w:rPr>
          <w:rFonts w:cstheme="minorHAnsi"/>
          <w:lang w:val="es-419"/>
        </w:rPr>
        <w:t>xxxxx</w:t>
      </w:r>
      <w:proofErr w:type="spellEnd"/>
      <w:r w:rsidRPr="00B27105">
        <w:rPr>
          <w:rFonts w:cstheme="minorHAnsi"/>
          <w:lang w:val="es-419"/>
        </w:rPr>
        <w:t xml:space="preserve"> de 2026 y </w:t>
      </w:r>
      <w:proofErr w:type="spellStart"/>
      <w:r w:rsidR="00B06237" w:rsidRPr="00B27105">
        <w:rPr>
          <w:rFonts w:cstheme="minorHAnsi"/>
          <w:lang w:val="es-419"/>
        </w:rPr>
        <w:t>xx</w:t>
      </w:r>
      <w:proofErr w:type="spellEnd"/>
      <w:r w:rsidRPr="00B27105">
        <w:rPr>
          <w:rFonts w:cstheme="minorHAnsi"/>
          <w:lang w:val="es-419"/>
        </w:rPr>
        <w:t xml:space="preserve"> de </w:t>
      </w:r>
      <w:proofErr w:type="spellStart"/>
      <w:r w:rsidR="00B06237" w:rsidRPr="00B27105">
        <w:rPr>
          <w:rFonts w:cstheme="minorHAnsi"/>
          <w:lang w:val="es-419"/>
        </w:rPr>
        <w:t>xxxxx</w:t>
      </w:r>
      <w:proofErr w:type="spellEnd"/>
      <w:r w:rsidRPr="00B27105">
        <w:rPr>
          <w:rFonts w:cstheme="minorHAnsi"/>
          <w:lang w:val="es-419"/>
        </w:rPr>
        <w:t xml:space="preserve"> 2026, a objeto de ser conocida con anticipación, recibir preguntas, comentarios y observaciones  para minimizar errores o dificultades prácticas de aplicación antes de su adopción definitiva.</w:t>
      </w:r>
    </w:p>
    <w:p w14:paraId="0AE82041" w14:textId="77777777" w:rsidR="001E68DB" w:rsidRPr="00B27105" w:rsidRDefault="001E68DB" w:rsidP="00FC1A65">
      <w:pPr>
        <w:pStyle w:val="Sinespaciado"/>
        <w:spacing w:before="0" w:after="0" w:line="254" w:lineRule="auto"/>
        <w:ind w:left="0"/>
        <w:rPr>
          <w:rFonts w:cstheme="minorHAnsi"/>
          <w:sz w:val="24"/>
          <w:szCs w:val="24"/>
          <w:lang w:val="es-419"/>
        </w:rPr>
      </w:pPr>
    </w:p>
    <w:p w14:paraId="26F822FF" w14:textId="77777777" w:rsidR="007867EC" w:rsidRPr="00B27105" w:rsidRDefault="007867EC" w:rsidP="00FC1A65">
      <w:pPr>
        <w:spacing w:line="254" w:lineRule="auto"/>
        <w:ind w:right="-21"/>
        <w:jc w:val="both"/>
        <w:rPr>
          <w:rFonts w:cstheme="minorHAnsi"/>
          <w:b/>
          <w:lang w:val="es-419"/>
        </w:rPr>
      </w:pPr>
      <w:r w:rsidRPr="00B27105">
        <w:rPr>
          <w:rFonts w:cstheme="minorHAnsi"/>
          <w:b/>
          <w:lang w:val="es-419"/>
        </w:rPr>
        <w:t xml:space="preserve">TENIENDO PRESENTE: </w:t>
      </w:r>
    </w:p>
    <w:p w14:paraId="18634B9C" w14:textId="77777777" w:rsidR="007867EC" w:rsidRPr="00B27105" w:rsidRDefault="007867EC" w:rsidP="00FC1A65">
      <w:pPr>
        <w:pStyle w:val="Sinespaciado"/>
        <w:spacing w:before="0" w:after="0" w:line="254" w:lineRule="auto"/>
        <w:ind w:left="0"/>
        <w:rPr>
          <w:rFonts w:cstheme="minorHAnsi"/>
          <w:sz w:val="24"/>
          <w:szCs w:val="24"/>
          <w:lang w:val="es-419"/>
        </w:rPr>
      </w:pPr>
    </w:p>
    <w:p w14:paraId="34585147" w14:textId="77777777" w:rsidR="007867EC" w:rsidRPr="00B27105" w:rsidRDefault="007867EC" w:rsidP="00FC1A65">
      <w:pPr>
        <w:pStyle w:val="Sinespaciado"/>
        <w:spacing w:before="0" w:after="0" w:line="254" w:lineRule="auto"/>
        <w:ind w:left="0"/>
        <w:rPr>
          <w:rFonts w:cstheme="minorHAnsi"/>
          <w:sz w:val="24"/>
          <w:szCs w:val="24"/>
          <w:lang w:val="es-419"/>
        </w:rPr>
      </w:pPr>
      <w:r w:rsidRPr="00B27105">
        <w:rPr>
          <w:rFonts w:cstheme="minorHAnsi"/>
          <w:sz w:val="24"/>
          <w:szCs w:val="24"/>
          <w:lang w:val="es-419"/>
        </w:rPr>
        <w:t>Lo establecido en las Resoluciones N° 36 del 2024 y N° 8 del 2025, ambas de la Contraloría General de la República, sobre exención del trámite de Toma de Razón, dicto la siguiente:</w:t>
      </w:r>
    </w:p>
    <w:p w14:paraId="3828AE19" w14:textId="77777777" w:rsidR="00603779" w:rsidRPr="00B27105" w:rsidRDefault="00603779" w:rsidP="00FC1A65">
      <w:pPr>
        <w:pStyle w:val="Sinespaciado"/>
        <w:spacing w:before="0" w:after="0" w:line="254" w:lineRule="auto"/>
        <w:ind w:left="0"/>
        <w:rPr>
          <w:rFonts w:cstheme="minorHAnsi"/>
          <w:sz w:val="24"/>
          <w:szCs w:val="24"/>
          <w:lang w:val="es-419"/>
        </w:rPr>
      </w:pPr>
    </w:p>
    <w:p w14:paraId="0BABD299" w14:textId="77777777" w:rsidR="00603779" w:rsidRPr="00B27105" w:rsidRDefault="00603779" w:rsidP="00FC1A65">
      <w:pPr>
        <w:pStyle w:val="Sinespaciado"/>
        <w:spacing w:before="0" w:after="0" w:line="254" w:lineRule="auto"/>
        <w:ind w:left="0"/>
        <w:rPr>
          <w:rFonts w:cstheme="minorHAnsi"/>
          <w:sz w:val="24"/>
          <w:szCs w:val="24"/>
          <w:lang w:val="es-419"/>
        </w:rPr>
      </w:pPr>
    </w:p>
    <w:p w14:paraId="59BADF11" w14:textId="77777777" w:rsidR="00603779" w:rsidRPr="00B27105" w:rsidRDefault="00603779" w:rsidP="00FC1A65">
      <w:pPr>
        <w:spacing w:line="254" w:lineRule="auto"/>
        <w:ind w:right="-21"/>
        <w:jc w:val="both"/>
        <w:rPr>
          <w:rFonts w:cstheme="minorHAnsi"/>
          <w:b/>
          <w:lang w:val="es-419"/>
        </w:rPr>
      </w:pPr>
      <w:r w:rsidRPr="00B27105">
        <w:rPr>
          <w:rFonts w:cstheme="minorHAnsi"/>
          <w:b/>
          <w:lang w:val="es-419"/>
        </w:rPr>
        <w:t>RESUELVO:</w:t>
      </w:r>
    </w:p>
    <w:p w14:paraId="710C84CF" w14:textId="77777777" w:rsidR="00603779" w:rsidRPr="00B27105" w:rsidRDefault="00603779" w:rsidP="00FC1A65">
      <w:pPr>
        <w:pStyle w:val="Sinespaciado"/>
        <w:spacing w:before="0" w:after="0" w:line="254" w:lineRule="auto"/>
        <w:ind w:left="0"/>
        <w:rPr>
          <w:rFonts w:cstheme="minorHAnsi"/>
          <w:sz w:val="24"/>
          <w:szCs w:val="24"/>
          <w:lang w:val="es-419"/>
        </w:rPr>
      </w:pPr>
    </w:p>
    <w:p w14:paraId="08500026" w14:textId="77777777" w:rsidR="00603779" w:rsidRPr="00B27105" w:rsidRDefault="00603779" w:rsidP="00FC1A65">
      <w:pPr>
        <w:pStyle w:val="Sinespaciado"/>
        <w:numPr>
          <w:ilvl w:val="0"/>
          <w:numId w:val="2"/>
        </w:numPr>
        <w:spacing w:before="0" w:after="0" w:line="254" w:lineRule="auto"/>
        <w:ind w:left="567" w:hanging="567"/>
        <w:rPr>
          <w:rFonts w:cstheme="minorHAnsi"/>
          <w:sz w:val="24"/>
          <w:szCs w:val="24"/>
          <w:lang w:val="es-419"/>
        </w:rPr>
      </w:pPr>
      <w:r w:rsidRPr="00B27105">
        <w:rPr>
          <w:rFonts w:cstheme="minorHAnsi"/>
          <w:b/>
          <w:bCs/>
          <w:sz w:val="24"/>
          <w:szCs w:val="24"/>
          <w:lang w:val="es-419"/>
        </w:rPr>
        <w:t>REEMPLÁZASE</w:t>
      </w:r>
      <w:r w:rsidRPr="00B27105">
        <w:rPr>
          <w:rFonts w:cstheme="minorHAnsi"/>
          <w:sz w:val="24"/>
          <w:szCs w:val="24"/>
          <w:lang w:val="es-419"/>
        </w:rPr>
        <w:t xml:space="preserve"> el párrafo segundo del punto 2.3.1, del numeral 2.3 sobre “Ingreso de Contenedores Vacíos por una avanzada terrestre”, de la letra “B. PROCEDIMIENTO DE CONTROL DE CONTENEDORES”, del APÉNDICE VIII “OPERADORES DE CONTENEDORES”, de la Resolución </w:t>
      </w:r>
      <w:proofErr w:type="spellStart"/>
      <w:r w:rsidRPr="00B27105">
        <w:rPr>
          <w:rFonts w:cstheme="minorHAnsi"/>
          <w:sz w:val="24"/>
          <w:szCs w:val="24"/>
          <w:lang w:val="es-419"/>
        </w:rPr>
        <w:t>Nº</w:t>
      </w:r>
      <w:proofErr w:type="spellEnd"/>
      <w:r w:rsidRPr="00B27105">
        <w:rPr>
          <w:rFonts w:cstheme="minorHAnsi"/>
          <w:sz w:val="24"/>
          <w:szCs w:val="24"/>
          <w:lang w:val="es-419"/>
        </w:rPr>
        <w:t xml:space="preserve"> 1300, de 2006, de la Dirección Nacional de Aduanas, que establece el Compendio de Normas Aduaneras, por el siguiente:</w:t>
      </w:r>
    </w:p>
    <w:p w14:paraId="00226A88" w14:textId="77777777" w:rsidR="00603779" w:rsidRPr="00B27105" w:rsidRDefault="00603779" w:rsidP="00FC1A65">
      <w:pPr>
        <w:pStyle w:val="Sinespaciado"/>
        <w:spacing w:before="0" w:after="0" w:line="254" w:lineRule="auto"/>
        <w:ind w:left="0"/>
        <w:rPr>
          <w:rFonts w:cstheme="minorHAnsi"/>
          <w:sz w:val="24"/>
          <w:szCs w:val="24"/>
          <w:lang w:val="es-419"/>
        </w:rPr>
      </w:pPr>
    </w:p>
    <w:p w14:paraId="435D83C7" w14:textId="77777777" w:rsidR="00603779" w:rsidRPr="00B27105" w:rsidRDefault="00603779" w:rsidP="00FC1A65">
      <w:pPr>
        <w:pStyle w:val="Sinespaciado"/>
        <w:spacing w:before="0" w:after="0" w:line="254" w:lineRule="auto"/>
        <w:ind w:left="567"/>
        <w:rPr>
          <w:rFonts w:cstheme="minorHAnsi"/>
          <w:sz w:val="24"/>
          <w:szCs w:val="24"/>
          <w:lang w:val="es-419"/>
        </w:rPr>
      </w:pPr>
      <w:r w:rsidRPr="00B27105">
        <w:rPr>
          <w:rFonts w:cstheme="minorHAnsi"/>
          <w:b/>
          <w:bCs/>
          <w:sz w:val="24"/>
          <w:szCs w:val="24"/>
          <w:lang w:val="es-419"/>
        </w:rPr>
        <w:t>“</w:t>
      </w:r>
      <w:r w:rsidRPr="00B27105">
        <w:rPr>
          <w:rFonts w:cstheme="minorHAnsi"/>
          <w:sz w:val="24"/>
          <w:szCs w:val="24"/>
          <w:lang w:val="es-419"/>
        </w:rPr>
        <w:t>Al momento de confeccionar el MIC/DTA el transportista deberá declarar el contenedor vacío como lastre, consignar el número del TATC en el campo 38 de dicho documento, en caso de contar con uno.”</w:t>
      </w:r>
    </w:p>
    <w:p w14:paraId="75952EC0" w14:textId="77777777" w:rsidR="00603779" w:rsidRPr="00B27105" w:rsidRDefault="00603779" w:rsidP="00FC1A65">
      <w:pPr>
        <w:pStyle w:val="Sinespaciado"/>
        <w:spacing w:before="0" w:after="0" w:line="254" w:lineRule="auto"/>
        <w:rPr>
          <w:rFonts w:cstheme="minorHAnsi"/>
          <w:sz w:val="24"/>
          <w:szCs w:val="24"/>
          <w:lang w:val="es-419"/>
        </w:rPr>
      </w:pPr>
    </w:p>
    <w:p w14:paraId="772F7295" w14:textId="6E525731" w:rsidR="00603779" w:rsidRPr="00B27105" w:rsidRDefault="00E6012A" w:rsidP="00FC1A65">
      <w:pPr>
        <w:pStyle w:val="Sinespaciado"/>
        <w:numPr>
          <w:ilvl w:val="0"/>
          <w:numId w:val="2"/>
        </w:numPr>
        <w:spacing w:before="0" w:after="0" w:line="254" w:lineRule="auto"/>
        <w:ind w:left="567" w:hanging="567"/>
        <w:rPr>
          <w:rFonts w:cstheme="minorHAnsi"/>
          <w:sz w:val="24"/>
          <w:szCs w:val="24"/>
          <w:lang w:val="es-419"/>
        </w:rPr>
      </w:pPr>
      <w:r w:rsidRPr="00B27105">
        <w:rPr>
          <w:rFonts w:cstheme="minorHAnsi"/>
          <w:b/>
          <w:bCs/>
          <w:sz w:val="24"/>
          <w:szCs w:val="24"/>
          <w:lang w:val="es-419"/>
        </w:rPr>
        <w:t>INCORPÓRESE</w:t>
      </w:r>
      <w:r w:rsidRPr="00B27105">
        <w:rPr>
          <w:rFonts w:cstheme="minorHAnsi"/>
          <w:sz w:val="24"/>
          <w:szCs w:val="24"/>
          <w:lang w:val="es-419"/>
        </w:rPr>
        <w:t xml:space="preserve"> </w:t>
      </w:r>
      <w:r w:rsidR="00603779" w:rsidRPr="00B27105">
        <w:rPr>
          <w:rFonts w:cstheme="minorHAnsi"/>
          <w:sz w:val="24"/>
          <w:szCs w:val="24"/>
          <w:lang w:val="es-419"/>
        </w:rPr>
        <w:t>en el Anexo 2 “Instrucciones de llenado del MIC/DTA por la empresa transportista o su representante legal en el país, en el sistema MIC WEB” de la resolución exenta N° 6152 del 11.09.2009, las siguientes instrucciones de llenado:</w:t>
      </w:r>
    </w:p>
    <w:p w14:paraId="724BC1A0"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5F500EEF" w14:textId="6C2EEAA7" w:rsidR="00603779" w:rsidRPr="00B27105" w:rsidRDefault="001B3188" w:rsidP="00FC1A65">
      <w:pPr>
        <w:pStyle w:val="Sinespaciado"/>
        <w:spacing w:before="0" w:after="0" w:line="254" w:lineRule="auto"/>
        <w:ind w:left="0" w:firstLine="567"/>
        <w:rPr>
          <w:rFonts w:cstheme="minorHAnsi"/>
          <w:sz w:val="24"/>
          <w:szCs w:val="24"/>
          <w:lang w:val="es-419"/>
        </w:rPr>
      </w:pPr>
      <w:r w:rsidRPr="00B27105">
        <w:rPr>
          <w:rFonts w:cstheme="minorHAnsi"/>
          <w:sz w:val="24"/>
          <w:szCs w:val="24"/>
          <w:lang w:val="es-419"/>
        </w:rPr>
        <w:t>E</w:t>
      </w:r>
      <w:r w:rsidR="00603779" w:rsidRPr="00B27105">
        <w:rPr>
          <w:rFonts w:cstheme="minorHAnsi"/>
          <w:sz w:val="24"/>
          <w:szCs w:val="24"/>
          <w:lang w:val="es-419"/>
        </w:rPr>
        <w:t xml:space="preserve">n el RECUADRO 4 en Tipo de Carga </w:t>
      </w:r>
      <w:r w:rsidRPr="00B27105">
        <w:rPr>
          <w:rFonts w:cstheme="minorHAnsi"/>
          <w:sz w:val="24"/>
          <w:szCs w:val="24"/>
          <w:lang w:val="es-419"/>
        </w:rPr>
        <w:t xml:space="preserve">el </w:t>
      </w:r>
      <w:r w:rsidR="00603779" w:rsidRPr="00B27105">
        <w:rPr>
          <w:rFonts w:cstheme="minorHAnsi"/>
          <w:sz w:val="24"/>
          <w:szCs w:val="24"/>
          <w:lang w:val="es-419"/>
        </w:rPr>
        <w:t>siguiente párrafo:</w:t>
      </w:r>
    </w:p>
    <w:p w14:paraId="1D59D1C0" w14:textId="6A5A1893" w:rsidR="00603779" w:rsidRPr="00B27105" w:rsidRDefault="001B3188" w:rsidP="00FC1A65">
      <w:pPr>
        <w:pStyle w:val="Sinespaciado"/>
        <w:spacing w:before="0" w:after="0" w:line="254" w:lineRule="auto"/>
        <w:ind w:left="567"/>
        <w:rPr>
          <w:rFonts w:cstheme="minorHAnsi"/>
          <w:sz w:val="24"/>
          <w:szCs w:val="24"/>
          <w:lang w:val="es-419"/>
        </w:rPr>
      </w:pPr>
      <w:r w:rsidRPr="00B27105">
        <w:rPr>
          <w:rFonts w:cstheme="minorHAnsi"/>
          <w:sz w:val="24"/>
          <w:szCs w:val="24"/>
          <w:lang w:val="es-419"/>
        </w:rPr>
        <w:t>“</w:t>
      </w:r>
      <w:r w:rsidR="00603779" w:rsidRPr="00B27105">
        <w:rPr>
          <w:rFonts w:cstheme="minorHAnsi"/>
          <w:sz w:val="24"/>
          <w:szCs w:val="24"/>
          <w:lang w:val="es-419"/>
        </w:rPr>
        <w:t xml:space="preserve">Cuando el camión transporte </w:t>
      </w:r>
      <w:r w:rsidRPr="00B27105">
        <w:rPr>
          <w:rFonts w:cstheme="minorHAnsi"/>
          <w:sz w:val="24"/>
          <w:szCs w:val="24"/>
          <w:lang w:val="es-419"/>
        </w:rPr>
        <w:t>uno</w:t>
      </w:r>
      <w:r w:rsidR="00603779" w:rsidRPr="00B27105">
        <w:rPr>
          <w:rFonts w:cstheme="minorHAnsi"/>
          <w:sz w:val="24"/>
          <w:szCs w:val="24"/>
          <w:lang w:val="es-419"/>
        </w:rPr>
        <w:t xml:space="preserve"> o dos contenedores vacíos, se deberá seleccionar el tipo Lastre, y completar los datos que se desplegar</w:t>
      </w:r>
      <w:r w:rsidR="00E42428" w:rsidRPr="00B27105">
        <w:rPr>
          <w:rFonts w:cstheme="minorHAnsi"/>
          <w:sz w:val="24"/>
          <w:szCs w:val="24"/>
          <w:lang w:val="es-419"/>
        </w:rPr>
        <w:t>á</w:t>
      </w:r>
      <w:r w:rsidR="00603779" w:rsidRPr="00B27105">
        <w:rPr>
          <w:rFonts w:cstheme="minorHAnsi"/>
          <w:sz w:val="24"/>
          <w:szCs w:val="24"/>
          <w:lang w:val="es-419"/>
        </w:rPr>
        <w:t>n al activar el botón “contenedores vacíos”, incorporando el o los números de identificación de los contenedores según corresponda</w:t>
      </w:r>
      <w:r w:rsidR="00E42428" w:rsidRPr="00B27105">
        <w:rPr>
          <w:rFonts w:cstheme="minorHAnsi"/>
          <w:sz w:val="24"/>
          <w:szCs w:val="24"/>
          <w:lang w:val="es-419"/>
        </w:rPr>
        <w:t>,</w:t>
      </w:r>
      <w:r w:rsidR="00603779" w:rsidRPr="00B27105">
        <w:rPr>
          <w:rFonts w:cstheme="minorHAnsi"/>
          <w:sz w:val="24"/>
          <w:szCs w:val="24"/>
          <w:lang w:val="es-419"/>
        </w:rPr>
        <w:t xml:space="preserve"> y las medidas del contenedor. Las celdas “condición del contenedor” por defecto se rellenan con una “V” indicando que se encuentra vacío</w:t>
      </w:r>
      <w:r w:rsidR="00E42428" w:rsidRPr="00B27105">
        <w:rPr>
          <w:rFonts w:cstheme="minorHAnsi"/>
          <w:sz w:val="24"/>
          <w:szCs w:val="24"/>
          <w:lang w:val="es-419"/>
        </w:rPr>
        <w:t>,</w:t>
      </w:r>
      <w:r w:rsidR="00603779" w:rsidRPr="00B27105">
        <w:rPr>
          <w:rFonts w:cstheme="minorHAnsi"/>
          <w:sz w:val="24"/>
          <w:szCs w:val="24"/>
          <w:lang w:val="es-419"/>
        </w:rPr>
        <w:t xml:space="preserve"> y </w:t>
      </w:r>
      <w:r w:rsidRPr="00B27105">
        <w:rPr>
          <w:rFonts w:cstheme="minorHAnsi"/>
          <w:sz w:val="24"/>
          <w:szCs w:val="24"/>
          <w:lang w:val="es-419"/>
        </w:rPr>
        <w:t>el</w:t>
      </w:r>
      <w:r w:rsidR="00603779" w:rsidRPr="00B27105">
        <w:rPr>
          <w:rFonts w:cstheme="minorHAnsi"/>
          <w:sz w:val="24"/>
          <w:szCs w:val="24"/>
          <w:lang w:val="es-419"/>
        </w:rPr>
        <w:t xml:space="preserve"> número de precinto queda en blanco. Al finalizar el llenado de los datos debe seleccionar la opción guardar</w:t>
      </w:r>
      <w:r w:rsidRPr="00B27105">
        <w:rPr>
          <w:rFonts w:cstheme="minorHAnsi"/>
          <w:sz w:val="24"/>
          <w:szCs w:val="24"/>
          <w:lang w:val="es-419"/>
        </w:rPr>
        <w:t>”</w:t>
      </w:r>
      <w:r w:rsidR="00603779" w:rsidRPr="00B27105">
        <w:rPr>
          <w:rFonts w:cstheme="minorHAnsi"/>
          <w:sz w:val="24"/>
          <w:szCs w:val="24"/>
          <w:lang w:val="es-419"/>
        </w:rPr>
        <w:t>.</w:t>
      </w:r>
    </w:p>
    <w:p w14:paraId="19D06DF2" w14:textId="77777777" w:rsidR="00603779" w:rsidRPr="00B27105" w:rsidRDefault="00603779" w:rsidP="00FC1A65">
      <w:pPr>
        <w:pStyle w:val="Sinespaciado"/>
        <w:spacing w:before="0" w:after="0" w:line="254" w:lineRule="auto"/>
        <w:ind w:left="0"/>
        <w:rPr>
          <w:rFonts w:cstheme="minorHAnsi"/>
          <w:sz w:val="24"/>
          <w:szCs w:val="24"/>
          <w:lang w:val="es-419"/>
        </w:rPr>
      </w:pPr>
    </w:p>
    <w:p w14:paraId="6C16A36B" w14:textId="10A5D2A4" w:rsidR="00603779" w:rsidRPr="00B27105" w:rsidRDefault="00603779" w:rsidP="00FC1A65">
      <w:pPr>
        <w:pStyle w:val="Sinespaciado"/>
        <w:numPr>
          <w:ilvl w:val="0"/>
          <w:numId w:val="2"/>
        </w:numPr>
        <w:spacing w:before="0" w:after="0" w:line="254" w:lineRule="auto"/>
        <w:ind w:left="567" w:hanging="567"/>
        <w:rPr>
          <w:rFonts w:cstheme="minorHAnsi"/>
          <w:sz w:val="24"/>
          <w:szCs w:val="24"/>
          <w:lang w:val="es-419"/>
        </w:rPr>
      </w:pPr>
      <w:r w:rsidRPr="00B27105">
        <w:rPr>
          <w:rFonts w:cstheme="minorHAnsi"/>
          <w:sz w:val="24"/>
          <w:szCs w:val="24"/>
          <w:lang w:val="es-419"/>
        </w:rPr>
        <w:lastRenderedPageBreak/>
        <w:t xml:space="preserve">Las referidas instrucciones entrarán en vigor desde la publicación del extracto de esta en el Diario Oficial. </w:t>
      </w:r>
    </w:p>
    <w:p w14:paraId="3B883D27" w14:textId="77777777" w:rsidR="00603779" w:rsidRPr="00B27105" w:rsidRDefault="00603779" w:rsidP="00FC1A65">
      <w:pPr>
        <w:pStyle w:val="Sinespaciado"/>
        <w:spacing w:before="0" w:after="0" w:line="254" w:lineRule="auto"/>
        <w:rPr>
          <w:rFonts w:cstheme="minorHAnsi"/>
          <w:sz w:val="24"/>
          <w:szCs w:val="24"/>
          <w:lang w:val="es-419"/>
        </w:rPr>
      </w:pPr>
    </w:p>
    <w:p w14:paraId="24EE1C37" w14:textId="77777777" w:rsidR="00603779" w:rsidRPr="00B27105" w:rsidRDefault="00603779" w:rsidP="00FC1A65">
      <w:pPr>
        <w:pStyle w:val="Sinespaciado"/>
        <w:spacing w:before="0" w:after="0" w:line="254" w:lineRule="auto"/>
        <w:rPr>
          <w:rFonts w:cstheme="minorHAnsi"/>
          <w:sz w:val="24"/>
          <w:szCs w:val="24"/>
          <w:lang w:val="es-419"/>
        </w:rPr>
      </w:pPr>
    </w:p>
    <w:p w14:paraId="5DBD338F" w14:textId="77777777" w:rsidR="00603779" w:rsidRPr="00B27105" w:rsidRDefault="00603779" w:rsidP="00FC1A65">
      <w:pPr>
        <w:pStyle w:val="Sinespaciado"/>
        <w:spacing w:before="0" w:after="0" w:line="254" w:lineRule="auto"/>
        <w:ind w:left="0"/>
        <w:rPr>
          <w:rFonts w:cstheme="minorHAnsi"/>
          <w:b/>
          <w:bCs/>
          <w:sz w:val="24"/>
          <w:szCs w:val="24"/>
          <w:lang w:val="es-419"/>
        </w:rPr>
      </w:pPr>
      <w:r w:rsidRPr="00B27105">
        <w:rPr>
          <w:rFonts w:cstheme="minorHAnsi"/>
          <w:b/>
          <w:bCs/>
          <w:sz w:val="24"/>
          <w:szCs w:val="24"/>
          <w:lang w:val="es-419"/>
        </w:rPr>
        <w:t>ANÓTESE, COMUNÍQUESE Y PUBLÍQUESE EN EXTRACTO EN EL DIARIO OFICIAL Y EN LA PÁGINA WEB DEL SERVICIO.</w:t>
      </w:r>
    </w:p>
    <w:p w14:paraId="3E6FDD06"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647F147B"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7A41A2B3"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430B9C12"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2F6F3FDF"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51054FD9"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339D3C6B"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1ECFA3D5"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3753F4C5"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39287B4B"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0E7EAF6B"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32B53427"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16DFEB16"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6F83804F"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44CA43E9"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63CEED20" w14:textId="77777777" w:rsidR="006A50D8" w:rsidRPr="00B27105" w:rsidRDefault="006A50D8" w:rsidP="00FC1A65">
      <w:pPr>
        <w:pStyle w:val="Sinespaciado"/>
        <w:spacing w:before="0" w:after="0" w:line="254" w:lineRule="auto"/>
        <w:ind w:left="0"/>
        <w:rPr>
          <w:rFonts w:cstheme="minorHAnsi"/>
          <w:b/>
          <w:bCs/>
          <w:sz w:val="24"/>
          <w:szCs w:val="24"/>
          <w:lang w:val="es-419"/>
        </w:rPr>
      </w:pPr>
    </w:p>
    <w:p w14:paraId="59F225FA"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39A7CB1A"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752771C5" w14:textId="77777777" w:rsidR="00603779" w:rsidRPr="00B27105" w:rsidRDefault="00603779" w:rsidP="00FC1A65">
      <w:pPr>
        <w:pStyle w:val="Sinespaciado"/>
        <w:spacing w:before="0" w:after="0" w:line="254" w:lineRule="auto"/>
        <w:ind w:left="0"/>
        <w:rPr>
          <w:rFonts w:cstheme="minorHAnsi"/>
          <w:b/>
          <w:bCs/>
          <w:sz w:val="24"/>
          <w:szCs w:val="24"/>
          <w:lang w:val="es-419"/>
        </w:rPr>
      </w:pPr>
    </w:p>
    <w:p w14:paraId="77462BC7" w14:textId="5A9DB5F6" w:rsidR="00234708" w:rsidRPr="00B27105" w:rsidRDefault="00083A22" w:rsidP="00FC1A65">
      <w:pPr>
        <w:pStyle w:val="Sinespaciado"/>
        <w:spacing w:before="0" w:after="0" w:line="254" w:lineRule="auto"/>
        <w:ind w:left="0"/>
        <w:rPr>
          <w:rFonts w:cstheme="minorHAnsi"/>
          <w:sz w:val="24"/>
          <w:szCs w:val="24"/>
          <w:lang w:val="es-419"/>
        </w:rPr>
      </w:pPr>
      <w:r w:rsidRPr="00B27105">
        <w:rPr>
          <w:rFonts w:cstheme="minorHAnsi"/>
          <w:b/>
          <w:bCs/>
          <w:sz w:val="24"/>
          <w:szCs w:val="24"/>
          <w:lang w:val="es-419"/>
        </w:rPr>
        <w:t>G</w:t>
      </w:r>
      <w:r w:rsidR="00603779" w:rsidRPr="00B27105">
        <w:rPr>
          <w:rFonts w:cstheme="minorHAnsi"/>
          <w:b/>
          <w:bCs/>
          <w:sz w:val="24"/>
          <w:szCs w:val="24"/>
          <w:lang w:val="es-419"/>
        </w:rPr>
        <w:t xml:space="preserve">LH / JLCM/ </w:t>
      </w:r>
      <w:r w:rsidR="00940D2F" w:rsidRPr="00B27105">
        <w:rPr>
          <w:rFonts w:cstheme="minorHAnsi"/>
          <w:b/>
          <w:bCs/>
          <w:sz w:val="24"/>
          <w:szCs w:val="24"/>
          <w:lang w:val="es-419"/>
        </w:rPr>
        <w:t>CM</w:t>
      </w:r>
      <w:r w:rsidR="002E2D29" w:rsidRPr="00B27105">
        <w:rPr>
          <w:rFonts w:cstheme="minorHAnsi"/>
          <w:b/>
          <w:bCs/>
          <w:sz w:val="24"/>
          <w:szCs w:val="24"/>
          <w:lang w:val="es-419"/>
        </w:rPr>
        <w:t>D</w:t>
      </w:r>
      <w:r w:rsidR="00603779" w:rsidRPr="00B27105">
        <w:rPr>
          <w:rFonts w:cstheme="minorHAnsi"/>
          <w:b/>
          <w:bCs/>
          <w:sz w:val="24"/>
          <w:szCs w:val="24"/>
          <w:lang w:val="es-419"/>
        </w:rPr>
        <w:t>/</w:t>
      </w:r>
      <w:r w:rsidR="00BB000E" w:rsidRPr="00B27105">
        <w:rPr>
          <w:rFonts w:cstheme="minorHAnsi"/>
          <w:b/>
          <w:bCs/>
          <w:sz w:val="24"/>
          <w:szCs w:val="24"/>
          <w:lang w:val="es-419"/>
        </w:rPr>
        <w:t>MRS/</w:t>
      </w:r>
      <w:r w:rsidR="00603779" w:rsidRPr="00B27105">
        <w:rPr>
          <w:rFonts w:cstheme="minorHAnsi"/>
          <w:b/>
          <w:bCs/>
          <w:sz w:val="24"/>
          <w:szCs w:val="24"/>
          <w:lang w:val="es-419"/>
        </w:rPr>
        <w:t xml:space="preserve"> </w:t>
      </w:r>
      <w:r w:rsidR="00BB000E" w:rsidRPr="00B27105">
        <w:rPr>
          <w:rFonts w:cstheme="minorHAnsi"/>
          <w:b/>
          <w:bCs/>
          <w:sz w:val="24"/>
          <w:szCs w:val="24"/>
          <w:lang w:val="es-419"/>
        </w:rPr>
        <w:t>KCI</w:t>
      </w:r>
      <w:r w:rsidR="00603779" w:rsidRPr="00B27105">
        <w:rPr>
          <w:rFonts w:cstheme="minorHAnsi"/>
          <w:b/>
          <w:bCs/>
          <w:sz w:val="24"/>
          <w:szCs w:val="24"/>
          <w:lang w:val="es-419"/>
        </w:rPr>
        <w:t xml:space="preserve"> / JRA</w:t>
      </w:r>
      <w:r w:rsidR="00234708" w:rsidRPr="00B27105">
        <w:rPr>
          <w:rFonts w:cstheme="minorHAnsi"/>
          <w:sz w:val="24"/>
          <w:szCs w:val="24"/>
          <w:lang w:val="es-419"/>
        </w:rPr>
        <w:tab/>
      </w:r>
    </w:p>
    <w:p w14:paraId="162D23EA" w14:textId="77777777" w:rsidR="00B27105" w:rsidRPr="00B27105" w:rsidRDefault="00B27105" w:rsidP="00FC1A65">
      <w:pPr>
        <w:pStyle w:val="Sinespaciado"/>
        <w:spacing w:before="0" w:after="0" w:line="254" w:lineRule="auto"/>
        <w:ind w:left="0"/>
        <w:rPr>
          <w:rFonts w:cstheme="minorHAnsi"/>
          <w:sz w:val="24"/>
          <w:szCs w:val="24"/>
          <w:lang w:val="es-419"/>
        </w:rPr>
      </w:pPr>
    </w:p>
    <w:p w14:paraId="6E9F15C6" w14:textId="5F97218A" w:rsidR="00B27105" w:rsidRPr="00B27105" w:rsidRDefault="00B27105" w:rsidP="00FC1A65">
      <w:pPr>
        <w:pStyle w:val="Sinespaciado"/>
        <w:spacing w:before="0" w:after="0" w:line="254" w:lineRule="auto"/>
        <w:ind w:left="0"/>
        <w:rPr>
          <w:rFonts w:cstheme="minorHAnsi"/>
          <w:b/>
          <w:bCs/>
          <w:sz w:val="24"/>
          <w:szCs w:val="24"/>
          <w:lang w:val="es-419"/>
        </w:rPr>
      </w:pPr>
      <w:r w:rsidRPr="00B27105">
        <w:rPr>
          <w:rFonts w:cstheme="minorHAnsi"/>
          <w:sz w:val="24"/>
          <w:szCs w:val="24"/>
          <w:lang w:val="es-419"/>
        </w:rPr>
        <w:t xml:space="preserve">Correlativo: </w:t>
      </w:r>
    </w:p>
    <w:sectPr w:rsidR="00B27105" w:rsidRPr="00B27105" w:rsidSect="007D662E">
      <w:headerReference w:type="default" r:id="rId10"/>
      <w:footerReference w:type="default" r:id="rId11"/>
      <w:pgSz w:w="12240" w:h="18720"/>
      <w:pgMar w:top="2552" w:right="1418" w:bottom="1418" w:left="1701" w:header="113"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51E4" w14:textId="77777777" w:rsidR="00394FF2" w:rsidRDefault="00394FF2" w:rsidP="009C340E">
      <w:r>
        <w:separator/>
      </w:r>
    </w:p>
  </w:endnote>
  <w:endnote w:type="continuationSeparator" w:id="0">
    <w:p w14:paraId="5F4D42AC" w14:textId="77777777" w:rsidR="00394FF2" w:rsidRDefault="00394FF2"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gobCL">
    <w:altName w:val="Times New Roman"/>
    <w:panose1 w:val="00000000000000000000"/>
    <w:charset w:val="4D"/>
    <w:family w:val="auto"/>
    <w:notTrueType/>
    <w:pitch w:val="variable"/>
    <w:sig w:usb0="8000002F" w:usb1="4000005B"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803" w14:textId="77777777" w:rsidR="00234708" w:rsidRDefault="00234708" w:rsidP="00287A9E">
    <w:pPr>
      <w:pStyle w:val="Piedepgina"/>
      <w:ind w:left="-993"/>
    </w:pPr>
  </w:p>
  <w:p w14:paraId="23A6E412" w14:textId="1BBA2D74" w:rsidR="00234708" w:rsidRDefault="00234708" w:rsidP="00287A9E">
    <w:pPr>
      <w:pStyle w:val="Piedepgina"/>
      <w:ind w:left="-993"/>
    </w:pPr>
  </w:p>
  <w:p w14:paraId="26B3225C" w14:textId="699A6AFC" w:rsidR="00234708" w:rsidRDefault="00234708" w:rsidP="00287A9E">
    <w:pPr>
      <w:pStyle w:val="Piedepgina"/>
      <w:ind w:left="-993"/>
    </w:pPr>
  </w:p>
  <w:p w14:paraId="69556195" w14:textId="4875C885" w:rsidR="009C340E" w:rsidRDefault="004A75B5" w:rsidP="00287A9E">
    <w:pPr>
      <w:pStyle w:val="Piedepgina"/>
      <w:ind w:left="-993"/>
    </w:pPr>
    <w:r w:rsidRPr="004D6778">
      <w:rPr>
        <w:noProof/>
      </w:rPr>
      <w:drawing>
        <wp:anchor distT="0" distB="0" distL="114300" distR="114300" simplePos="0" relativeHeight="251662336" behindDoc="0" locked="0" layoutInCell="1" allowOverlap="1" wp14:anchorId="39F325F6" wp14:editId="685550AD">
          <wp:simplePos x="0" y="0"/>
          <wp:positionH relativeFrom="column">
            <wp:posOffset>-541655</wp:posOffset>
          </wp:positionH>
          <wp:positionV relativeFrom="paragraph">
            <wp:posOffset>-341214</wp:posOffset>
          </wp:positionV>
          <wp:extent cx="6854025" cy="170887"/>
          <wp:effectExtent l="0" t="0" r="0" b="0"/>
          <wp:wrapNone/>
          <wp:docPr id="358487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13988" name=""/>
                  <pic:cNvPicPr/>
                </pic:nvPicPr>
                <pic:blipFill>
                  <a:blip r:embed="rId1">
                    <a:extLst>
                      <a:ext uri="{28A0092B-C50C-407E-A947-70E740481C1C}">
                        <a14:useLocalDpi xmlns:a14="http://schemas.microsoft.com/office/drawing/2010/main" val="0"/>
                      </a:ext>
                    </a:extLst>
                  </a:blip>
                  <a:stretch>
                    <a:fillRect/>
                  </a:stretch>
                </pic:blipFill>
                <pic:spPr>
                  <a:xfrm>
                    <a:off x="0" y="0"/>
                    <a:ext cx="6854025" cy="170887"/>
                  </a:xfrm>
                  <a:prstGeom prst="rect">
                    <a:avLst/>
                  </a:prstGeom>
                </pic:spPr>
              </pic:pic>
            </a:graphicData>
          </a:graphic>
          <wp14:sizeRelH relativeFrom="page">
            <wp14:pctWidth>0</wp14:pctWidth>
          </wp14:sizeRelH>
          <wp14:sizeRelV relativeFrom="page">
            <wp14:pctHeight>0</wp14:pctHeight>
          </wp14:sizeRelV>
        </wp:anchor>
      </w:drawing>
    </w:r>
    <w:r w:rsidR="0027637E">
      <w:rPr>
        <w:noProof/>
        <w:lang w:eastAsia="es-ES_tradnl"/>
      </w:rPr>
      <mc:AlternateContent>
        <mc:Choice Requires="wps">
          <w:drawing>
            <wp:anchor distT="0" distB="0" distL="114300" distR="114300" simplePos="0" relativeHeight="251660288" behindDoc="0" locked="0" layoutInCell="1" allowOverlap="1" wp14:anchorId="6293C212" wp14:editId="48809515">
              <wp:simplePos x="0" y="0"/>
              <wp:positionH relativeFrom="column">
                <wp:posOffset>-541233</wp:posOffset>
              </wp:positionH>
              <wp:positionV relativeFrom="paragraph">
                <wp:posOffset>-528532</wp:posOffset>
              </wp:positionV>
              <wp:extent cx="6954097" cy="68643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954097" cy="686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5BB2B8" w14:textId="77777777"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9" type="#_x0000_t202" style="position:absolute;left:0;text-align:left;margin-left:-42.6pt;margin-top:-41.6pt;width:547.55pt;height:5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" filled="f" stroked="f">
              <v:textbox>
                <w:txbxContent>
                  <w:p w14:paraId="115BB2B8" w14:textId="77777777"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7099" w14:textId="77777777" w:rsidR="00394FF2" w:rsidRDefault="00394FF2" w:rsidP="009C340E">
      <w:r>
        <w:separator/>
      </w:r>
    </w:p>
  </w:footnote>
  <w:footnote w:type="continuationSeparator" w:id="0">
    <w:p w14:paraId="00114F91" w14:textId="77777777" w:rsidR="00394FF2" w:rsidRDefault="00394FF2"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0F96EC62" w:rsidR="005C0373" w:rsidRDefault="005C0373" w:rsidP="00287A9E">
    <w:pPr>
      <w:pStyle w:val="Encabezado"/>
      <w:spacing w:line="120" w:lineRule="auto"/>
      <w:ind w:left="-993"/>
    </w:pPr>
    <w:r>
      <w:br/>
    </w:r>
  </w:p>
  <w:p w14:paraId="7540784A" w14:textId="2EF34FC1" w:rsidR="008A1F18" w:rsidRDefault="0027637E" w:rsidP="007D662E">
    <w:pPr>
      <w:pStyle w:val="Encabezado"/>
      <w:spacing w:line="120" w:lineRule="auto"/>
      <w:ind w:left="-993"/>
    </w:pPr>
    <w:r>
      <w:rPr>
        <w:noProof/>
      </w:rPr>
      <mc:AlternateContent>
        <mc:Choice Requires="wps">
          <w:drawing>
            <wp:anchor distT="0" distB="0" distL="114300" distR="114300" simplePos="0" relativeHeight="251663360" behindDoc="0" locked="0" layoutInCell="1" allowOverlap="1" wp14:anchorId="0806E50F" wp14:editId="0049C7A3">
              <wp:simplePos x="0" y="0"/>
              <wp:positionH relativeFrom="column">
                <wp:posOffset>-778298</wp:posOffset>
              </wp:positionH>
              <wp:positionV relativeFrom="paragraph">
                <wp:posOffset>60748</wp:posOffset>
              </wp:positionV>
              <wp:extent cx="897466" cy="668867"/>
              <wp:effectExtent l="0" t="0" r="4445" b="4445"/>
              <wp:wrapNone/>
              <wp:docPr id="338294532" name="Cuadro de texto 3"/>
              <wp:cNvGraphicFramePr/>
              <a:graphic xmlns:a="http://schemas.openxmlformats.org/drawingml/2006/main">
                <a:graphicData uri="http://schemas.microsoft.com/office/word/2010/wordprocessingShape">
                  <wps:wsp>
                    <wps:cNvSpPr txBox="1"/>
                    <wps:spPr>
                      <a:xfrm>
                        <a:off x="0" y="0"/>
                        <a:ext cx="897466" cy="668867"/>
                      </a:xfrm>
                      <a:prstGeom prst="rect">
                        <a:avLst/>
                      </a:prstGeom>
                      <a:solidFill>
                        <a:schemeClr val="lt1"/>
                      </a:solidFill>
                      <a:ln w="6350">
                        <a:noFill/>
                      </a:ln>
                    </wps:spPr>
                    <wps:txbx>
                      <w:txbxContent>
                        <w:p w14:paraId="5556319E" w14:textId="1C583B04" w:rsidR="0027637E" w:rsidRDefault="0027637E">
                          <w:r>
                            <w:rPr>
                              <w:noProof/>
                            </w:rPr>
                            <w:drawing>
                              <wp:inline distT="0" distB="0" distL="0" distR="0" wp14:anchorId="3A7D3BF4" wp14:editId="1B9CC64C">
                                <wp:extent cx="576000" cy="576000"/>
                                <wp:effectExtent l="0" t="0" r="0" b="0"/>
                                <wp:docPr id="184637235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00" cy="576000"/>
                                        </a:xfrm>
                                        <a:prstGeom prst="rect">
                                          <a:avLst/>
                                        </a:prstGeom>
                                        <a:noFill/>
                                        <a:ln>
                                          <a:noFill/>
                                          <a:prstDash/>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06E50F" id="_x0000_t202" coordsize="21600,21600" o:spt="202" path="m,l,21600r21600,l21600,xe">
              <v:stroke joinstyle="miter"/>
              <v:path gradientshapeok="t" o:connecttype="rect"/>
            </v:shapetype>
            <v:shape id="Cuadro de texto 3" o:spid="_x0000_s1026" type="#_x0000_t202" style="position:absolute;left:0;text-align:left;margin-left:-61.3pt;margin-top:4.8pt;width:70.65pt;height:5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" fillcolor="white [3201]" stroked="f" strokeweight=".5pt">
              <v:textbox>
                <w:txbxContent>
                  <w:p w14:paraId="5556319E" w14:textId="1C583B04" w:rsidR="0027637E" w:rsidRDefault="0027637E">
                    <w:r>
                      <w:rPr>
                        <w:noProof/>
                      </w:rPr>
                      <w:drawing>
                        <wp:inline distT="0" distB="0" distL="0" distR="0" wp14:anchorId="3A7D3BF4" wp14:editId="1B9CC64C">
                          <wp:extent cx="576000" cy="576000"/>
                          <wp:effectExtent l="0" t="0" r="0" b="0"/>
                          <wp:docPr id="184637235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00" cy="576000"/>
                                  </a:xfrm>
                                  <a:prstGeom prst="rect">
                                    <a:avLst/>
                                  </a:prstGeom>
                                  <a:noFill/>
                                  <a:ln>
                                    <a:noFill/>
                                    <a:prstDash/>
                                  </a:ln>
                                </pic:spPr>
                              </pic:pic>
                            </a:graphicData>
                          </a:graphic>
                        </wp:inline>
                      </w:drawing>
                    </w:r>
                    <w:r>
                      <w:t xml:space="preserve">  </w:t>
                    </w:r>
                  </w:p>
                </w:txbxContent>
              </v:textbox>
            </v:shape>
          </w:pict>
        </mc:Fallback>
      </mc:AlternateContent>
    </w:r>
  </w:p>
  <w:p w14:paraId="29B0E4FB" w14:textId="4EB34152" w:rsidR="005C0373" w:rsidRDefault="0027637E" w:rsidP="006F2DC4">
    <w:pPr>
      <w:pStyle w:val="Encabezado"/>
      <w:spacing w:line="120" w:lineRule="auto"/>
    </w:pPr>
    <w:r>
      <w:rPr>
        <w:noProof/>
        <w:lang w:eastAsia="es-ES_tradnl"/>
      </w:rPr>
      <mc:AlternateContent>
        <mc:Choice Requires="wps">
          <w:drawing>
            <wp:anchor distT="0" distB="0" distL="114300" distR="114300" simplePos="0" relativeHeight="251659264" behindDoc="0" locked="0" layoutInCell="1" allowOverlap="1" wp14:anchorId="704DB016" wp14:editId="64BC857A">
              <wp:simplePos x="0" y="0"/>
              <wp:positionH relativeFrom="column">
                <wp:posOffset>-732790</wp:posOffset>
              </wp:positionH>
              <wp:positionV relativeFrom="paragraph">
                <wp:posOffset>621029</wp:posOffset>
              </wp:positionV>
              <wp:extent cx="2037503" cy="54292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2037503" cy="542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20BC5C7A" w14:textId="162AD77E" w:rsidR="00234708" w:rsidRPr="00DF42E3" w:rsidRDefault="00234708" w:rsidP="0038036B">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Normas Aduaneras</w:t>
                          </w: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DB016" id="Cuadro de texto 10" o:spid="_x0000_s1027" type="#_x0000_t202" style="position:absolute;margin-left:-57.7pt;margin-top:48.9pt;width:160.4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" filled="f" stroked="f">
              <v:textbo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20BC5C7A" w14:textId="162AD77E" w:rsidR="00234708" w:rsidRPr="00DF42E3" w:rsidRDefault="00234708" w:rsidP="0038036B">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Normas Aduaneras</w:t>
                    </w: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eastAsia="es-ES_tradnl"/>
      </w:rPr>
      <mc:AlternateContent>
        <mc:Choice Requires="wps">
          <w:drawing>
            <wp:anchor distT="0" distB="0" distL="114300" distR="114300" simplePos="0" relativeHeight="251664384" behindDoc="0" locked="0" layoutInCell="1" allowOverlap="1" wp14:anchorId="2CD422CD" wp14:editId="5A25335F">
              <wp:simplePos x="0" y="0"/>
              <wp:positionH relativeFrom="column">
                <wp:posOffset>-79375</wp:posOffset>
              </wp:positionH>
              <wp:positionV relativeFrom="paragraph">
                <wp:posOffset>68368</wp:posOffset>
              </wp:positionV>
              <wp:extent cx="1600200" cy="499110"/>
              <wp:effectExtent l="0" t="0" r="0" b="0"/>
              <wp:wrapNone/>
              <wp:docPr id="1859078118" name="Cuadro de texto 4"/>
              <wp:cNvGraphicFramePr/>
              <a:graphic xmlns:a="http://schemas.openxmlformats.org/drawingml/2006/main">
                <a:graphicData uri="http://schemas.microsoft.com/office/word/2010/wordprocessingShape">
                  <wps:wsp>
                    <wps:cNvSpPr txBox="1"/>
                    <wps:spPr>
                      <a:xfrm>
                        <a:off x="0" y="0"/>
                        <a:ext cx="1600200" cy="499110"/>
                      </a:xfrm>
                      <a:prstGeom prst="rect">
                        <a:avLst/>
                      </a:prstGeom>
                      <a:noFill/>
                      <a:ln w="6350">
                        <a:noFill/>
                      </a:ln>
                    </wps:spPr>
                    <wps:txbx>
                      <w:txbxContent>
                        <w:p w14:paraId="77F611A8" w14:textId="50F40C43" w:rsidR="0027637E" w:rsidRDefault="0027637E">
                          <w:r>
                            <w:rPr>
                              <w:noProof/>
                              <w:lang w:val="es-ES" w:eastAsia="es-ES"/>
                            </w:rPr>
                            <w:drawing>
                              <wp:inline distT="0" distB="0" distL="0" distR="0" wp14:anchorId="3D87444D" wp14:editId="664C6689">
                                <wp:extent cx="1283970" cy="388383"/>
                                <wp:effectExtent l="0" t="0" r="0" b="5715"/>
                                <wp:docPr id="15068503" name="Imagen 15068503"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388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22CD" id="Cuadro de texto 4" o:spid="_x0000_s1028" type="#_x0000_t202" style="position:absolute;margin-left:-6.25pt;margin-top:5.4pt;width:126pt;height: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" filled="f" stroked="f" strokeweight=".5pt">
              <v:textbox>
                <w:txbxContent>
                  <w:p w14:paraId="77F611A8" w14:textId="50F40C43" w:rsidR="0027637E" w:rsidRDefault="0027637E">
                    <w:r>
                      <w:rPr>
                        <w:noProof/>
                        <w:lang w:val="es-ES" w:eastAsia="es-ES"/>
                      </w:rPr>
                      <w:drawing>
                        <wp:inline distT="0" distB="0" distL="0" distR="0" wp14:anchorId="3D87444D" wp14:editId="664C6689">
                          <wp:extent cx="1283970" cy="388383"/>
                          <wp:effectExtent l="0" t="0" r="0" b="5715"/>
                          <wp:docPr id="15068503" name="Imagen 15068503" descr="SSD:Users:veronica:Desktop:logo adu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veronica:Desktop:logo aduana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38838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39E4"/>
    <w:multiLevelType w:val="hybridMultilevel"/>
    <w:tmpl w:val="FCD873F4"/>
    <w:lvl w:ilvl="0" w:tplc="9F60C738">
      <w:start w:val="1"/>
      <w:numFmt w:val="upperRoman"/>
      <w:lvlText w:val="%1."/>
      <w:lvlJc w:val="right"/>
      <w:pPr>
        <w:ind w:left="720" w:hanging="360"/>
      </w:pPr>
      <w:rPr>
        <w:b/>
      </w:rPr>
    </w:lvl>
    <w:lvl w:ilvl="1" w:tplc="8B7CAF8E">
      <w:start w:val="1"/>
      <w:numFmt w:val="bullet"/>
      <w:lvlText w:val="-"/>
      <w:lvlJc w:val="left"/>
      <w:pPr>
        <w:ind w:left="1440" w:hanging="360"/>
      </w:pPr>
      <w:rPr>
        <w:rFonts w:ascii="Calibri" w:hAnsi="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1EC7A0A"/>
    <w:multiLevelType w:val="hybridMultilevel"/>
    <w:tmpl w:val="6A2A334E"/>
    <w:lvl w:ilvl="0" w:tplc="76C03F9A">
      <w:start w:val="1"/>
      <w:numFmt w:val="upperRoman"/>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170950">
    <w:abstractNumId w:val="0"/>
  </w:num>
  <w:num w:numId="2" w16cid:durableId="87111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0C91"/>
    <w:rsid w:val="00002BE2"/>
    <w:rsid w:val="00015823"/>
    <w:rsid w:val="00023D21"/>
    <w:rsid w:val="00052F83"/>
    <w:rsid w:val="00053EBE"/>
    <w:rsid w:val="00070483"/>
    <w:rsid w:val="000727D8"/>
    <w:rsid w:val="000823B7"/>
    <w:rsid w:val="00083A22"/>
    <w:rsid w:val="00096404"/>
    <w:rsid w:val="000A46B9"/>
    <w:rsid w:val="000C049C"/>
    <w:rsid w:val="000D3B4E"/>
    <w:rsid w:val="000E0A86"/>
    <w:rsid w:val="000F35E7"/>
    <w:rsid w:val="00146675"/>
    <w:rsid w:val="0015395A"/>
    <w:rsid w:val="001620E5"/>
    <w:rsid w:val="00162A6F"/>
    <w:rsid w:val="00186BC5"/>
    <w:rsid w:val="0019094B"/>
    <w:rsid w:val="001B3188"/>
    <w:rsid w:val="001B354E"/>
    <w:rsid w:val="001E0E73"/>
    <w:rsid w:val="001E68DB"/>
    <w:rsid w:val="00204079"/>
    <w:rsid w:val="00234708"/>
    <w:rsid w:val="00234D34"/>
    <w:rsid w:val="00263637"/>
    <w:rsid w:val="0027637E"/>
    <w:rsid w:val="002841B0"/>
    <w:rsid w:val="00286AEB"/>
    <w:rsid w:val="00287A9E"/>
    <w:rsid w:val="00290C00"/>
    <w:rsid w:val="002D3545"/>
    <w:rsid w:val="002E2D29"/>
    <w:rsid w:val="00305938"/>
    <w:rsid w:val="003441F3"/>
    <w:rsid w:val="003673F5"/>
    <w:rsid w:val="00377F71"/>
    <w:rsid w:val="0038036B"/>
    <w:rsid w:val="00394FF2"/>
    <w:rsid w:val="003A1DA5"/>
    <w:rsid w:val="003A23B9"/>
    <w:rsid w:val="003E2C1A"/>
    <w:rsid w:val="00402393"/>
    <w:rsid w:val="00465553"/>
    <w:rsid w:val="00485870"/>
    <w:rsid w:val="00494D66"/>
    <w:rsid w:val="00495B22"/>
    <w:rsid w:val="004A75B5"/>
    <w:rsid w:val="004B2B6C"/>
    <w:rsid w:val="004D1CD8"/>
    <w:rsid w:val="004D27A3"/>
    <w:rsid w:val="0051688E"/>
    <w:rsid w:val="00517F4D"/>
    <w:rsid w:val="00522BAC"/>
    <w:rsid w:val="00527BF2"/>
    <w:rsid w:val="00540297"/>
    <w:rsid w:val="00557CA9"/>
    <w:rsid w:val="005A4707"/>
    <w:rsid w:val="005C0373"/>
    <w:rsid w:val="005C48D0"/>
    <w:rsid w:val="005E371D"/>
    <w:rsid w:val="00603779"/>
    <w:rsid w:val="006130E9"/>
    <w:rsid w:val="00650BBE"/>
    <w:rsid w:val="0067218B"/>
    <w:rsid w:val="00684164"/>
    <w:rsid w:val="00693D5C"/>
    <w:rsid w:val="006A50D8"/>
    <w:rsid w:val="006A7C90"/>
    <w:rsid w:val="006B3EE0"/>
    <w:rsid w:val="006F2DC4"/>
    <w:rsid w:val="006F679F"/>
    <w:rsid w:val="006F7CCD"/>
    <w:rsid w:val="00725BDD"/>
    <w:rsid w:val="00734042"/>
    <w:rsid w:val="007867EC"/>
    <w:rsid w:val="00786F6B"/>
    <w:rsid w:val="00793D3D"/>
    <w:rsid w:val="007A1EF9"/>
    <w:rsid w:val="007B01CD"/>
    <w:rsid w:val="007B4C77"/>
    <w:rsid w:val="007C603B"/>
    <w:rsid w:val="007D0D8A"/>
    <w:rsid w:val="007D662E"/>
    <w:rsid w:val="007F2335"/>
    <w:rsid w:val="007F5692"/>
    <w:rsid w:val="00851EEE"/>
    <w:rsid w:val="00865790"/>
    <w:rsid w:val="00870080"/>
    <w:rsid w:val="00872065"/>
    <w:rsid w:val="008A1F18"/>
    <w:rsid w:val="008B1164"/>
    <w:rsid w:val="008B2466"/>
    <w:rsid w:val="008C04E1"/>
    <w:rsid w:val="008C3277"/>
    <w:rsid w:val="008C6A67"/>
    <w:rsid w:val="008D50AC"/>
    <w:rsid w:val="008D6C30"/>
    <w:rsid w:val="008E2A09"/>
    <w:rsid w:val="008F5AF2"/>
    <w:rsid w:val="009119D0"/>
    <w:rsid w:val="00924E67"/>
    <w:rsid w:val="00926D64"/>
    <w:rsid w:val="00940D2F"/>
    <w:rsid w:val="0095738B"/>
    <w:rsid w:val="0096217E"/>
    <w:rsid w:val="009706FD"/>
    <w:rsid w:val="0098297C"/>
    <w:rsid w:val="009848C3"/>
    <w:rsid w:val="00994587"/>
    <w:rsid w:val="009952FB"/>
    <w:rsid w:val="009A0C1C"/>
    <w:rsid w:val="009A1EE2"/>
    <w:rsid w:val="009C28C7"/>
    <w:rsid w:val="009C340E"/>
    <w:rsid w:val="009C7728"/>
    <w:rsid w:val="009F0C41"/>
    <w:rsid w:val="009F6556"/>
    <w:rsid w:val="00A30785"/>
    <w:rsid w:val="00A475C7"/>
    <w:rsid w:val="00A66C9C"/>
    <w:rsid w:val="00A73DEB"/>
    <w:rsid w:val="00A83DDE"/>
    <w:rsid w:val="00AA4B65"/>
    <w:rsid w:val="00AA7706"/>
    <w:rsid w:val="00AB279E"/>
    <w:rsid w:val="00AC1C4A"/>
    <w:rsid w:val="00AD1E08"/>
    <w:rsid w:val="00AE4D1F"/>
    <w:rsid w:val="00AF17EA"/>
    <w:rsid w:val="00AF2C4C"/>
    <w:rsid w:val="00AF5304"/>
    <w:rsid w:val="00AF5AB2"/>
    <w:rsid w:val="00B06237"/>
    <w:rsid w:val="00B142EC"/>
    <w:rsid w:val="00B27105"/>
    <w:rsid w:val="00B537C2"/>
    <w:rsid w:val="00BB000E"/>
    <w:rsid w:val="00BB5299"/>
    <w:rsid w:val="00BB7E3F"/>
    <w:rsid w:val="00BC2D8D"/>
    <w:rsid w:val="00BC4353"/>
    <w:rsid w:val="00BE053F"/>
    <w:rsid w:val="00BE0A2D"/>
    <w:rsid w:val="00BF5FFD"/>
    <w:rsid w:val="00C137E8"/>
    <w:rsid w:val="00C57414"/>
    <w:rsid w:val="00C72A94"/>
    <w:rsid w:val="00C77202"/>
    <w:rsid w:val="00C77BCD"/>
    <w:rsid w:val="00CB64E2"/>
    <w:rsid w:val="00CC04B1"/>
    <w:rsid w:val="00CC0B6A"/>
    <w:rsid w:val="00CF4F23"/>
    <w:rsid w:val="00CF68AF"/>
    <w:rsid w:val="00D144A9"/>
    <w:rsid w:val="00D15398"/>
    <w:rsid w:val="00D40B72"/>
    <w:rsid w:val="00D732B0"/>
    <w:rsid w:val="00DB065C"/>
    <w:rsid w:val="00DC7B01"/>
    <w:rsid w:val="00DD0A01"/>
    <w:rsid w:val="00DD16F6"/>
    <w:rsid w:val="00DD1E7A"/>
    <w:rsid w:val="00DD635A"/>
    <w:rsid w:val="00DF42E3"/>
    <w:rsid w:val="00E038E0"/>
    <w:rsid w:val="00E32111"/>
    <w:rsid w:val="00E333DA"/>
    <w:rsid w:val="00E42428"/>
    <w:rsid w:val="00E45C37"/>
    <w:rsid w:val="00E52854"/>
    <w:rsid w:val="00E6012A"/>
    <w:rsid w:val="00E637B1"/>
    <w:rsid w:val="00EA18D7"/>
    <w:rsid w:val="00EA4A85"/>
    <w:rsid w:val="00EC2297"/>
    <w:rsid w:val="00EC35BF"/>
    <w:rsid w:val="00EC5C63"/>
    <w:rsid w:val="00ED2423"/>
    <w:rsid w:val="00ED3995"/>
    <w:rsid w:val="00ED5D2F"/>
    <w:rsid w:val="00EE0741"/>
    <w:rsid w:val="00EF73EA"/>
    <w:rsid w:val="00F0694C"/>
    <w:rsid w:val="00F32E61"/>
    <w:rsid w:val="00F42EA7"/>
    <w:rsid w:val="00F64F18"/>
    <w:rsid w:val="00FB1BD5"/>
    <w:rsid w:val="00FB7100"/>
    <w:rsid w:val="00FC1203"/>
    <w:rsid w:val="00FC1A65"/>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Prrafodelista">
    <w:name w:val="List Paragraph"/>
    <w:basedOn w:val="Normal"/>
    <w:uiPriority w:val="34"/>
    <w:qFormat/>
    <w:rsid w:val="00234708"/>
    <w:pPr>
      <w:spacing w:after="160" w:line="259" w:lineRule="auto"/>
      <w:ind w:left="720"/>
      <w:contextualSpacing/>
    </w:pPr>
    <w:rPr>
      <w:sz w:val="22"/>
      <w:szCs w:val="22"/>
      <w:lang w:val="es-CL"/>
    </w:rPr>
  </w:style>
  <w:style w:type="table" w:styleId="Tablaconcuadrcula">
    <w:name w:val="Table Grid"/>
    <w:basedOn w:val="Tablanormal"/>
    <w:uiPriority w:val="39"/>
    <w:rsid w:val="00234708"/>
    <w:rPr>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603779"/>
    <w:pPr>
      <w:spacing w:before="80" w:after="80"/>
      <w:ind w:left="340"/>
      <w:jc w:val="both"/>
    </w:pPr>
    <w:rPr>
      <w:sz w:val="22"/>
      <w:szCs w:val="22"/>
      <w:lang w:val="es-CL"/>
    </w:rPr>
  </w:style>
  <w:style w:type="paragraph" w:styleId="Revisin">
    <w:name w:val="Revision"/>
    <w:hidden/>
    <w:uiPriority w:val="99"/>
    <w:semiHidden/>
    <w:rsid w:val="00E4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BFE9BAD55EF64AA8E64570207029AE" ma:contentTypeVersion="17" ma:contentTypeDescription="Crear nuevo documento." ma:contentTypeScope="" ma:versionID="42ab38ed0cd788b11c2ea2202682fe4e">
  <xsd:schema xmlns:xsd="http://www.w3.org/2001/XMLSchema" xmlns:xs="http://www.w3.org/2001/XMLSchema" xmlns:p="http://schemas.microsoft.com/office/2006/metadata/properties" xmlns:ns3="849b8c1c-8f75-4471-a5c6-df226da0cc71" xmlns:ns4="91ef3a4a-6d11-43b6-91da-9c21bebf74bd" targetNamespace="http://schemas.microsoft.com/office/2006/metadata/properties" ma:root="true" ma:fieldsID="37399bb0faa9a52bd49599faa946f6f9" ns3:_="" ns4:_="">
    <xsd:import namespace="849b8c1c-8f75-4471-a5c6-df226da0cc71"/>
    <xsd:import namespace="91ef3a4a-6d11-43b6-91da-9c21bebf7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b8c1c-8f75-4471-a5c6-df226da0cc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f3a4a-6d11-43b6-91da-9c21bebf7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ef3a4a-6d11-43b6-91da-9c21bebf74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A3CC1-7EC4-44CD-AE38-6ACFD7CE7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b8c1c-8f75-4471-a5c6-df226da0cc71"/>
    <ds:schemaRef ds:uri="91ef3a4a-6d11-43b6-91da-9c21bebf7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DB5E6-0CB3-47A6-83E7-257670B5876E}">
  <ds:schemaRefs>
    <ds:schemaRef ds:uri="http://schemas.microsoft.com/office/2006/metadata/properties"/>
    <ds:schemaRef ds:uri="http://schemas.microsoft.com/office/infopath/2007/PartnerControls"/>
    <ds:schemaRef ds:uri="91ef3a4a-6d11-43b6-91da-9c21bebf74bd"/>
  </ds:schemaRefs>
</ds:datastoreItem>
</file>

<file path=customXml/itemProps3.xml><?xml version="1.0" encoding="utf-8"?>
<ds:datastoreItem xmlns:ds="http://schemas.openxmlformats.org/officeDocument/2006/customXml" ds:itemID="{C8E46A35-FEBE-4A7C-9DE9-2EE552610BD8}">
  <ds:schemaRefs>
    <ds:schemaRef ds:uri="http://schemas.microsoft.com/sharepoint/v3/contenttype/forms"/>
  </ds:schemaRefs>
</ds:datastoreItem>
</file>

<file path=docMetadata/LabelInfo.xml><?xml version="1.0" encoding="utf-8"?>
<clbl:labelList xmlns:clbl="http://schemas.microsoft.com/office/2020/mipLabelMetadata">
  <clbl:label id="{2b24dbd5-33ba-482f-8dc3-021bb154f7b1}" enabled="0" method="" siteId="{2b24dbd5-33ba-482f-8dc3-021bb154f7b1}"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1386</Words>
  <Characters>7226</Characters>
  <Application>Microsoft Office Word</Application>
  <DocSecurity>0</DocSecurity>
  <Lines>218</Lines>
  <Paragraphs>61</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Patricia Chamorro Figueroa</cp:lastModifiedBy>
  <cp:revision>12</cp:revision>
  <cp:lastPrinted>2026-03-26T13:27:00Z</cp:lastPrinted>
  <dcterms:created xsi:type="dcterms:W3CDTF">2026-04-02T14:31:00Z</dcterms:created>
  <dcterms:modified xsi:type="dcterms:W3CDTF">2026-04-02T14:45:00Z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0x010100A8BFE9BAD55EF64AA8E64570207029AE</vt:lpwstr>
  </property>
</Properties>
</file>